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52" w:rsidRPr="009D0E52" w:rsidRDefault="009D0E52" w:rsidP="009D0E52">
      <w:pPr>
        <w:shd w:val="clear" w:color="auto" w:fill="FFFFFF"/>
        <w:spacing w:after="0" w:line="315" w:lineRule="atLeast"/>
        <w:ind w:left="375"/>
        <w:rPr>
          <w:rFonts w:ascii="Arial" w:eastAsia="Times New Roman" w:hAnsi="Arial" w:cs="Arial"/>
          <w:b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b/>
          <w:sz w:val="21"/>
          <w:szCs w:val="21"/>
          <w:lang w:eastAsia="nl-NL"/>
        </w:rPr>
        <w:t>Verwijscriteria brandwonden</w:t>
      </w:r>
    </w:p>
    <w:p w:rsidR="009D0E52" w:rsidRPr="009D0E52" w:rsidRDefault="009D0E52" w:rsidP="009D0E52">
      <w:pPr>
        <w:shd w:val="clear" w:color="auto" w:fill="FFFFFF"/>
        <w:spacing w:after="0" w:line="315" w:lineRule="atLeast"/>
        <w:ind w:left="37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Bij alle patiënten die voldoen aan één of meer van de volgende criteria dient er contact opgenomen te worden met een brandwondencentrum voor advies en eventueel verwijzing.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Brandwonden ≥ 10% TVLO bij volwassenen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Brandwonden ≥ 5% TVLO bij kinderen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Volledige dikte brandwonden ≥ 5% TVLO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Brandwonden over functionele gebieden (gelaat, handen, voeten, genitalia, perineum en grote  gewrichten)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Circulaire brandwonden aan hals, romp of ledematen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Brandwonden t.g.v. elektriciteit (hoog voltage), inclusief brandwonden t.g.v. blikseminslag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Chemische letsels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Brandwonden met een vermoeden van inhalatieletsel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Brandwonden met een ander begeleidend trauma of (pre-existente) aandoening die de behandeling en  genezing kan beïnvloeden en mortaliteit verhogen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Brandwonden bij uitersten van leeftijd: jonge kinderen (≤ 1 jaar) en ouderen (≥ 75 jaar)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Niet-accidentele brandwonden</w:t>
      </w:r>
    </w:p>
    <w:p w:rsidR="009D0E52" w:rsidRPr="009D0E52" w:rsidRDefault="009D0E52" w:rsidP="009D0E52">
      <w:pPr>
        <w:numPr>
          <w:ilvl w:val="0"/>
          <w:numId w:val="1"/>
        </w:numPr>
        <w:shd w:val="clear" w:color="auto" w:fill="FFFFFF"/>
        <w:spacing w:after="0" w:line="315" w:lineRule="atLeast"/>
        <w:ind w:left="645"/>
        <w:rPr>
          <w:rFonts w:ascii="Arial" w:eastAsia="Times New Roman" w:hAnsi="Arial" w:cs="Arial"/>
          <w:sz w:val="21"/>
          <w:szCs w:val="21"/>
          <w:lang w:eastAsia="nl-NL"/>
        </w:rPr>
      </w:pPr>
      <w:r w:rsidRPr="009D0E52">
        <w:rPr>
          <w:rFonts w:ascii="Arial" w:eastAsia="Times New Roman" w:hAnsi="Arial" w:cs="Arial"/>
          <w:sz w:val="21"/>
          <w:szCs w:val="21"/>
          <w:lang w:eastAsia="nl-NL"/>
        </w:rPr>
        <w:t>Brandwonden waarbij twijfel bestaat over de vermelde ongevalstoedracht in combinatie met twijfel over competentie/toerusting van de eigen instelling voor deze problematiek</w:t>
      </w:r>
    </w:p>
    <w:p w:rsidR="00B41798" w:rsidRDefault="00B41798">
      <w:bookmarkStart w:id="0" w:name="_GoBack"/>
      <w:bookmarkEnd w:id="0"/>
    </w:p>
    <w:sectPr w:rsidR="00B4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1A7"/>
    <w:multiLevelType w:val="multilevel"/>
    <w:tmpl w:val="EA8C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52"/>
    <w:rsid w:val="009D0E52"/>
    <w:rsid w:val="00B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 Medisch Centrum voor Noord-Limburg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Siebers, Yvonne</dc:creator>
  <cp:lastModifiedBy>Siebers, Yvonne</cp:lastModifiedBy>
  <cp:revision>1</cp:revision>
  <dcterms:created xsi:type="dcterms:W3CDTF">2018-01-22T15:05:00Z</dcterms:created>
  <dcterms:modified xsi:type="dcterms:W3CDTF">2018-01-22T15:09:00Z</dcterms:modified>
</cp:coreProperties>
</file>