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 w:type="dxa"/>
        <w:tblBorders>
          <w:insideH w:val="single" w:sz="4" w:space="0" w:color="000000"/>
          <w:insideV w:val="single" w:sz="4" w:space="0" w:color="000000"/>
        </w:tblBorders>
        <w:shd w:val="clear" w:color="auto" w:fill="CCC0D9"/>
        <w:tblLook w:val="04A0" w:firstRow="1" w:lastRow="0" w:firstColumn="1" w:lastColumn="0" w:noHBand="0" w:noVBand="1"/>
      </w:tblPr>
      <w:tblGrid>
        <w:gridCol w:w="4890"/>
      </w:tblGrid>
      <w:tr w:rsidR="006303A5" w:rsidRPr="00B73906" w:rsidTr="001406E0">
        <w:tc>
          <w:tcPr>
            <w:tcW w:w="4890" w:type="dxa"/>
            <w:tcBorders>
              <w:bottom w:val="nil"/>
            </w:tcBorders>
            <w:shd w:val="clear" w:color="auto" w:fill="CCC0D9"/>
          </w:tcPr>
          <w:p w:rsidR="006303A5" w:rsidRPr="00D47345" w:rsidRDefault="006303A5" w:rsidP="00B73906">
            <w:pPr>
              <w:pStyle w:val="Plattetekst"/>
              <w:rPr>
                <w:rFonts w:cs="Calibri"/>
                <w:b/>
                <w:lang w:val="nl-NL"/>
              </w:rPr>
            </w:pPr>
            <w:r w:rsidRPr="00D47345">
              <w:rPr>
                <w:rFonts w:cs="Calibri"/>
                <w:b/>
                <w:lang w:val="nl-NL"/>
              </w:rPr>
              <w:t xml:space="preserve">Tabel 1. </w:t>
            </w:r>
            <w:r w:rsidR="00903E6F">
              <w:rPr>
                <w:rFonts w:cs="Calibri"/>
                <w:b/>
                <w:lang w:val="nl-NL"/>
              </w:rPr>
              <w:t xml:space="preserve">Leden van de </w:t>
            </w:r>
            <w:r w:rsidRPr="00D47345">
              <w:rPr>
                <w:rFonts w:cs="Calibri"/>
                <w:b/>
                <w:lang w:val="nl-NL"/>
              </w:rPr>
              <w:t>EWMA ‘</w:t>
            </w:r>
            <w:proofErr w:type="spellStart"/>
            <w:r w:rsidRPr="00D47345">
              <w:rPr>
                <w:rFonts w:cs="Calibri"/>
                <w:b/>
                <w:lang w:val="nl-NL"/>
              </w:rPr>
              <w:t>Patient</w:t>
            </w:r>
            <w:proofErr w:type="spellEnd"/>
            <w:r w:rsidRPr="00D47345">
              <w:rPr>
                <w:rFonts w:cs="Calibri"/>
                <w:b/>
                <w:lang w:val="nl-NL"/>
              </w:rPr>
              <w:t xml:space="preserve"> </w:t>
            </w:r>
            <w:proofErr w:type="spellStart"/>
            <w:r w:rsidRPr="00D47345">
              <w:rPr>
                <w:rFonts w:cs="Calibri"/>
                <w:b/>
                <w:lang w:val="nl-NL"/>
              </w:rPr>
              <w:t>Outcome</w:t>
            </w:r>
            <w:proofErr w:type="spellEnd"/>
            <w:r w:rsidRPr="00D47345">
              <w:rPr>
                <w:rFonts w:cs="Calibri"/>
                <w:b/>
                <w:lang w:val="nl-NL"/>
              </w:rPr>
              <w:t xml:space="preserve"> Group’</w:t>
            </w:r>
          </w:p>
        </w:tc>
      </w:tr>
      <w:tr w:rsidR="006303A5" w:rsidRPr="00D47345" w:rsidTr="001406E0">
        <w:tc>
          <w:tcPr>
            <w:tcW w:w="4890" w:type="dxa"/>
            <w:tcBorders>
              <w:top w:val="nil"/>
              <w:bottom w:val="single" w:sz="4" w:space="0" w:color="000000"/>
            </w:tcBorders>
            <w:shd w:val="clear" w:color="auto" w:fill="CCC0D9"/>
          </w:tcPr>
          <w:p w:rsidR="006303A5" w:rsidRPr="00D47345" w:rsidRDefault="006303A5" w:rsidP="00CE79F9">
            <w:pPr>
              <w:pStyle w:val="Plattetekst"/>
              <w:spacing w:before="120" w:after="0"/>
              <w:rPr>
                <w:rFonts w:cs="Calibri"/>
                <w:b/>
                <w:sz w:val="20"/>
                <w:szCs w:val="20"/>
                <w:lang w:val="nl-NL"/>
              </w:rPr>
            </w:pPr>
            <w:r w:rsidRPr="00D47345">
              <w:rPr>
                <w:rFonts w:cs="Calibri"/>
                <w:b/>
                <w:sz w:val="20"/>
                <w:szCs w:val="20"/>
                <w:lang w:val="nl-NL"/>
              </w:rPr>
              <w:t>Clinici/individuen</w:t>
            </w:r>
          </w:p>
        </w:tc>
      </w:tr>
      <w:tr w:rsidR="006303A5" w:rsidRPr="00D47345" w:rsidTr="001406E0">
        <w:tc>
          <w:tcPr>
            <w:tcW w:w="4890" w:type="dxa"/>
            <w:tcBorders>
              <w:top w:val="single" w:sz="4" w:space="0" w:color="000000"/>
            </w:tcBorders>
            <w:shd w:val="clear" w:color="auto" w:fill="CCC0D9"/>
          </w:tcPr>
          <w:p w:rsidR="006303A5" w:rsidRPr="00D47345" w:rsidRDefault="006303A5" w:rsidP="00FE0CD4">
            <w:pPr>
              <w:pStyle w:val="Plattetekst"/>
              <w:rPr>
                <w:rFonts w:cs="Calibri"/>
                <w:sz w:val="20"/>
                <w:szCs w:val="20"/>
                <w:lang w:val="nl-NL"/>
              </w:rPr>
            </w:pPr>
            <w:r w:rsidRPr="00D47345">
              <w:rPr>
                <w:rFonts w:cs="Calibri"/>
                <w:sz w:val="20"/>
                <w:szCs w:val="20"/>
                <w:lang w:val="nl-NL"/>
              </w:rPr>
              <w:t xml:space="preserve">Finn </w:t>
            </w:r>
            <w:proofErr w:type="spellStart"/>
            <w:r w:rsidRPr="00D47345">
              <w:rPr>
                <w:rFonts w:cs="Calibri"/>
                <w:sz w:val="20"/>
                <w:szCs w:val="20"/>
                <w:lang w:val="nl-NL"/>
              </w:rPr>
              <w:t>Gottrup</w:t>
            </w:r>
            <w:proofErr w:type="spellEnd"/>
            <w:r w:rsidRPr="00D47345">
              <w:rPr>
                <w:rFonts w:cs="Calibri"/>
                <w:sz w:val="20"/>
                <w:szCs w:val="20"/>
                <w:lang w:val="nl-NL"/>
              </w:rPr>
              <w:t xml:space="preserve"> (voorzitter)</w:t>
            </w:r>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 xml:space="preserve">Jan </w:t>
            </w:r>
            <w:proofErr w:type="spellStart"/>
            <w:r w:rsidRPr="00D47345">
              <w:rPr>
                <w:rFonts w:cs="Calibri"/>
                <w:sz w:val="20"/>
                <w:szCs w:val="20"/>
                <w:lang w:val="nl-NL"/>
              </w:rPr>
              <w:t>Apelqvist</w:t>
            </w:r>
            <w:proofErr w:type="spellEnd"/>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 xml:space="preserve">Luc </w:t>
            </w:r>
            <w:proofErr w:type="spellStart"/>
            <w:r w:rsidRPr="00D47345">
              <w:rPr>
                <w:rFonts w:cs="Calibri"/>
                <w:sz w:val="20"/>
                <w:szCs w:val="20"/>
                <w:lang w:val="nl-NL"/>
              </w:rPr>
              <w:t>Gryson</w:t>
            </w:r>
            <w:proofErr w:type="spellEnd"/>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proofErr w:type="spellStart"/>
            <w:r w:rsidRPr="00D47345">
              <w:rPr>
                <w:rFonts w:cs="Calibri"/>
                <w:sz w:val="20"/>
                <w:szCs w:val="20"/>
                <w:lang w:val="nl-NL"/>
              </w:rPr>
              <w:t>Zena</w:t>
            </w:r>
            <w:proofErr w:type="spellEnd"/>
            <w:r w:rsidRPr="00D47345">
              <w:rPr>
                <w:rFonts w:cs="Calibri"/>
                <w:sz w:val="20"/>
                <w:szCs w:val="20"/>
                <w:lang w:val="nl-NL"/>
              </w:rPr>
              <w:t xml:space="preserve"> Moore</w:t>
            </w:r>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Patricia Price</w:t>
            </w:r>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 xml:space="preserve">Hugo </w:t>
            </w:r>
            <w:proofErr w:type="spellStart"/>
            <w:r w:rsidRPr="00D47345">
              <w:rPr>
                <w:rFonts w:cs="Calibri"/>
                <w:sz w:val="20"/>
                <w:szCs w:val="20"/>
                <w:lang w:val="nl-NL"/>
              </w:rPr>
              <w:t>Partsch</w:t>
            </w:r>
            <w:proofErr w:type="spellEnd"/>
          </w:p>
        </w:tc>
      </w:tr>
      <w:tr w:rsidR="006303A5" w:rsidRPr="00D47345" w:rsidTr="001406E0">
        <w:tc>
          <w:tcPr>
            <w:tcW w:w="4890" w:type="dxa"/>
            <w:tcBorders>
              <w:bottom w:val="nil"/>
            </w:tcBorders>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 xml:space="preserve">John </w:t>
            </w:r>
            <w:proofErr w:type="spellStart"/>
            <w:r w:rsidRPr="00D47345">
              <w:rPr>
                <w:rFonts w:cs="Calibri"/>
                <w:sz w:val="20"/>
                <w:szCs w:val="20"/>
                <w:lang w:val="nl-NL"/>
              </w:rPr>
              <w:t>Posnett</w:t>
            </w:r>
            <w:proofErr w:type="spellEnd"/>
          </w:p>
        </w:tc>
      </w:tr>
      <w:tr w:rsidR="006303A5" w:rsidRPr="00D47345" w:rsidTr="001406E0">
        <w:tc>
          <w:tcPr>
            <w:tcW w:w="4890" w:type="dxa"/>
            <w:tcBorders>
              <w:top w:val="nil"/>
              <w:bottom w:val="single" w:sz="4" w:space="0" w:color="000000"/>
            </w:tcBorders>
            <w:shd w:val="clear" w:color="auto" w:fill="CCC0D9"/>
          </w:tcPr>
          <w:p w:rsidR="006303A5" w:rsidRPr="00D47345" w:rsidRDefault="00833D92" w:rsidP="00CE79F9">
            <w:pPr>
              <w:pStyle w:val="Plattetekst"/>
              <w:spacing w:before="120" w:after="0"/>
              <w:rPr>
                <w:rFonts w:cs="Calibri"/>
                <w:b/>
                <w:sz w:val="20"/>
                <w:szCs w:val="20"/>
                <w:lang w:val="nl-NL"/>
              </w:rPr>
            </w:pPr>
            <w:r w:rsidRPr="00D47345">
              <w:rPr>
                <w:rFonts w:cs="Calibri"/>
                <w:b/>
                <w:sz w:val="20"/>
                <w:szCs w:val="20"/>
                <w:lang w:val="nl-NL"/>
              </w:rPr>
              <w:t>Vertegenwoordigers uit de industrie:</w:t>
            </w:r>
          </w:p>
        </w:tc>
      </w:tr>
      <w:tr w:rsidR="006303A5" w:rsidRPr="00D47345" w:rsidTr="001406E0">
        <w:tc>
          <w:tcPr>
            <w:tcW w:w="4890" w:type="dxa"/>
            <w:tcBorders>
              <w:top w:val="single" w:sz="4" w:space="0" w:color="000000"/>
            </w:tcBorders>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Abbott (2010)</w:t>
            </w:r>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r w:rsidRPr="00D47345">
              <w:rPr>
                <w:rFonts w:cs="Calibri"/>
                <w:sz w:val="20"/>
                <w:szCs w:val="20"/>
                <w:lang w:val="nl-NL"/>
              </w:rPr>
              <w:t>B. Braun</w:t>
            </w:r>
          </w:p>
        </w:tc>
      </w:tr>
      <w:tr w:rsidR="006303A5" w:rsidRPr="00D47345" w:rsidTr="00CE79F9">
        <w:tc>
          <w:tcPr>
            <w:tcW w:w="4890" w:type="dxa"/>
            <w:shd w:val="clear" w:color="auto" w:fill="CCC0D9"/>
          </w:tcPr>
          <w:p w:rsidR="006303A5" w:rsidRPr="00D47345" w:rsidRDefault="00833D92" w:rsidP="00FE0CD4">
            <w:pPr>
              <w:pStyle w:val="Plattetekst"/>
              <w:rPr>
                <w:rFonts w:cs="Calibri"/>
                <w:sz w:val="20"/>
                <w:szCs w:val="20"/>
                <w:lang w:val="nl-NL"/>
              </w:rPr>
            </w:pPr>
            <w:proofErr w:type="spellStart"/>
            <w:r w:rsidRPr="00D47345">
              <w:rPr>
                <w:rFonts w:cs="Calibri"/>
                <w:sz w:val="20"/>
                <w:szCs w:val="20"/>
                <w:lang w:val="nl-NL"/>
              </w:rPr>
              <w:t>Coloplast</w:t>
            </w:r>
            <w:proofErr w:type="spellEnd"/>
            <w:r w:rsidRPr="00D47345">
              <w:rPr>
                <w:rFonts w:cs="Calibri"/>
                <w:sz w:val="20"/>
                <w:szCs w:val="20"/>
                <w:lang w:val="nl-NL"/>
              </w:rPr>
              <w:t xml:space="preserve"> (2008-2009)</w:t>
            </w:r>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proofErr w:type="spellStart"/>
            <w:r w:rsidRPr="00D47345">
              <w:rPr>
                <w:rFonts w:cs="Calibri"/>
                <w:sz w:val="20"/>
                <w:szCs w:val="20"/>
                <w:lang w:val="nl-NL"/>
              </w:rPr>
              <w:t>ConvaTec</w:t>
            </w:r>
            <w:proofErr w:type="spellEnd"/>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proofErr w:type="spellStart"/>
            <w:r w:rsidRPr="00D47345">
              <w:rPr>
                <w:rFonts w:cs="Calibri"/>
                <w:sz w:val="20"/>
                <w:szCs w:val="20"/>
                <w:lang w:val="nl-NL"/>
              </w:rPr>
              <w:t>Covidien</w:t>
            </w:r>
            <w:proofErr w:type="spellEnd"/>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r w:rsidRPr="00D47345">
              <w:rPr>
                <w:rFonts w:cs="Calibri"/>
                <w:sz w:val="20"/>
                <w:szCs w:val="20"/>
                <w:lang w:val="nl-NL"/>
              </w:rPr>
              <w:t>KCI</w:t>
            </w:r>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proofErr w:type="spellStart"/>
            <w:r w:rsidRPr="00D47345">
              <w:rPr>
                <w:rFonts w:cs="Calibri"/>
                <w:sz w:val="20"/>
                <w:szCs w:val="20"/>
                <w:lang w:val="nl-NL"/>
              </w:rPr>
              <w:t>Lohmann</w:t>
            </w:r>
            <w:proofErr w:type="spellEnd"/>
            <w:r w:rsidRPr="00D47345">
              <w:rPr>
                <w:rFonts w:cs="Calibri"/>
                <w:sz w:val="20"/>
                <w:szCs w:val="20"/>
                <w:lang w:val="nl-NL"/>
              </w:rPr>
              <w:t xml:space="preserve"> &amp; </w:t>
            </w:r>
            <w:proofErr w:type="spellStart"/>
            <w:r w:rsidRPr="00D47345">
              <w:rPr>
                <w:rFonts w:cs="Calibri"/>
                <w:sz w:val="20"/>
                <w:szCs w:val="20"/>
                <w:lang w:val="nl-NL"/>
              </w:rPr>
              <w:t>Rauscher</w:t>
            </w:r>
            <w:proofErr w:type="spellEnd"/>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r w:rsidRPr="00D47345">
              <w:rPr>
                <w:rFonts w:cs="Calibri"/>
                <w:sz w:val="20"/>
                <w:szCs w:val="20"/>
                <w:lang w:val="nl-NL"/>
              </w:rPr>
              <w:t xml:space="preserve">Paul </w:t>
            </w:r>
            <w:proofErr w:type="spellStart"/>
            <w:r w:rsidRPr="00D47345">
              <w:rPr>
                <w:rFonts w:cs="Calibri"/>
                <w:sz w:val="20"/>
                <w:szCs w:val="20"/>
                <w:lang w:val="nl-NL"/>
              </w:rPr>
              <w:t>Hartmann</w:t>
            </w:r>
            <w:proofErr w:type="spellEnd"/>
            <w:r w:rsidRPr="00D47345">
              <w:rPr>
                <w:rFonts w:cs="Calibri"/>
                <w:sz w:val="20"/>
                <w:szCs w:val="20"/>
                <w:lang w:val="nl-NL"/>
              </w:rPr>
              <w:t xml:space="preserve"> AG</w:t>
            </w:r>
          </w:p>
        </w:tc>
      </w:tr>
      <w:tr w:rsidR="00833D92" w:rsidRPr="00D47345" w:rsidTr="00CE79F9">
        <w:tc>
          <w:tcPr>
            <w:tcW w:w="4890" w:type="dxa"/>
            <w:shd w:val="clear" w:color="auto" w:fill="CCC0D9"/>
          </w:tcPr>
          <w:p w:rsidR="00833D92" w:rsidRPr="00D47345" w:rsidRDefault="00833D92" w:rsidP="00FE0CD4">
            <w:pPr>
              <w:pStyle w:val="Plattetekst"/>
              <w:rPr>
                <w:rFonts w:cs="Calibri"/>
                <w:sz w:val="20"/>
                <w:szCs w:val="20"/>
                <w:lang w:val="nl-NL"/>
              </w:rPr>
            </w:pPr>
            <w:proofErr w:type="spellStart"/>
            <w:r w:rsidRPr="00D47345">
              <w:rPr>
                <w:rFonts w:cs="Calibri"/>
                <w:sz w:val="20"/>
                <w:szCs w:val="20"/>
                <w:lang w:val="nl-NL"/>
              </w:rPr>
              <w:t>Mölnlycke</w:t>
            </w:r>
            <w:proofErr w:type="spellEnd"/>
            <w:r w:rsidRPr="00D47345">
              <w:rPr>
                <w:rFonts w:cs="Calibri"/>
                <w:sz w:val="20"/>
                <w:szCs w:val="20"/>
                <w:lang w:val="nl-NL"/>
              </w:rPr>
              <w:t xml:space="preserve"> Healthcare</w:t>
            </w:r>
          </w:p>
        </w:tc>
      </w:tr>
      <w:tr w:rsidR="00833D92" w:rsidRPr="00B73906" w:rsidTr="00CE79F9">
        <w:tc>
          <w:tcPr>
            <w:tcW w:w="4890" w:type="dxa"/>
            <w:shd w:val="clear" w:color="auto" w:fill="CCC0D9"/>
          </w:tcPr>
          <w:p w:rsidR="00833D92" w:rsidRPr="00D47345" w:rsidRDefault="00833D92" w:rsidP="00FE0CD4">
            <w:pPr>
              <w:pStyle w:val="Plattetekst"/>
              <w:rPr>
                <w:rFonts w:cs="Calibri"/>
                <w:sz w:val="20"/>
                <w:szCs w:val="20"/>
                <w:lang w:val="nl-NL"/>
              </w:rPr>
            </w:pPr>
            <w:r w:rsidRPr="00D47345">
              <w:rPr>
                <w:rFonts w:cs="Calibri"/>
                <w:sz w:val="20"/>
                <w:szCs w:val="20"/>
                <w:lang w:val="nl-NL"/>
              </w:rPr>
              <w:t xml:space="preserve">Voor meer informatie over de EWMA </w:t>
            </w:r>
            <w:proofErr w:type="spellStart"/>
            <w:r w:rsidRPr="00D47345">
              <w:rPr>
                <w:rFonts w:cs="Calibri"/>
                <w:sz w:val="20"/>
                <w:szCs w:val="20"/>
                <w:lang w:val="nl-NL"/>
              </w:rPr>
              <w:t>Patient</w:t>
            </w:r>
            <w:proofErr w:type="spellEnd"/>
            <w:r w:rsidRPr="00D47345">
              <w:rPr>
                <w:rFonts w:cs="Calibri"/>
                <w:sz w:val="20"/>
                <w:szCs w:val="20"/>
                <w:lang w:val="nl-NL"/>
              </w:rPr>
              <w:t xml:space="preserve"> </w:t>
            </w:r>
            <w:proofErr w:type="spellStart"/>
            <w:r w:rsidRPr="00D47345">
              <w:rPr>
                <w:rFonts w:cs="Calibri"/>
                <w:sz w:val="20"/>
                <w:szCs w:val="20"/>
                <w:lang w:val="nl-NL"/>
              </w:rPr>
              <w:t>Outcome</w:t>
            </w:r>
            <w:proofErr w:type="spellEnd"/>
            <w:r w:rsidRPr="00D47345">
              <w:rPr>
                <w:rFonts w:cs="Calibri"/>
                <w:sz w:val="20"/>
                <w:szCs w:val="20"/>
                <w:lang w:val="nl-NL"/>
              </w:rPr>
              <w:t xml:space="preserve"> Group en diens doelen, zie http://www.ewma.org/english/patient-outcome-group</w:t>
            </w:r>
          </w:p>
        </w:tc>
      </w:tr>
    </w:tbl>
    <w:p w:rsidR="00833D92" w:rsidRDefault="00833D92" w:rsidP="00FE0CD4">
      <w:pPr>
        <w:pStyle w:val="Plattetekst"/>
        <w:rPr>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tblBorders>
        <w:shd w:val="clear" w:color="auto" w:fill="CCC0D9"/>
        <w:tblLook w:val="00A0" w:firstRow="1" w:lastRow="0" w:firstColumn="1" w:lastColumn="0" w:noHBand="0" w:noVBand="0"/>
      </w:tblPr>
      <w:tblGrid>
        <w:gridCol w:w="1188"/>
        <w:gridCol w:w="8388"/>
      </w:tblGrid>
      <w:tr w:rsidR="00EB4FCF" w:rsidRPr="00D47345" w:rsidTr="00CE79F9">
        <w:tc>
          <w:tcPr>
            <w:tcW w:w="9576" w:type="dxa"/>
            <w:gridSpan w:val="2"/>
            <w:tcBorders>
              <w:top w:val="nil"/>
              <w:left w:val="nil"/>
              <w:bottom w:val="nil"/>
              <w:right w:val="nil"/>
            </w:tcBorders>
            <w:shd w:val="clear" w:color="auto" w:fill="CCC0D9"/>
          </w:tcPr>
          <w:p w:rsidR="00EB4FCF" w:rsidRPr="00D47345" w:rsidRDefault="00EB4FCF" w:rsidP="00432222">
            <w:pPr>
              <w:spacing w:after="0" w:line="240" w:lineRule="auto"/>
              <w:rPr>
                <w:rFonts w:cs="Calibri"/>
                <w:b/>
                <w:sz w:val="24"/>
                <w:szCs w:val="24"/>
                <w:lang w:val="nl-NL"/>
              </w:rPr>
            </w:pPr>
            <w:r w:rsidRPr="00D47345">
              <w:rPr>
                <w:rFonts w:cs="Calibri"/>
                <w:b/>
                <w:sz w:val="24"/>
                <w:szCs w:val="24"/>
                <w:lang w:val="nl-NL"/>
              </w:rPr>
              <w:t>Tabel 2. Bewijs niveaus*</w:t>
            </w:r>
          </w:p>
          <w:p w:rsidR="00EB4FCF" w:rsidRPr="00D47345" w:rsidRDefault="00EB4FCF" w:rsidP="00432222">
            <w:pPr>
              <w:spacing w:after="0" w:line="240" w:lineRule="auto"/>
              <w:rPr>
                <w:rFonts w:cs="Calibri"/>
                <w:b/>
                <w:sz w:val="20"/>
                <w:szCs w:val="20"/>
                <w:lang w:val="nl-NL"/>
              </w:rPr>
            </w:pPr>
          </w:p>
        </w:tc>
      </w:tr>
      <w:tr w:rsidR="00EB4FCF" w:rsidRPr="00D47345" w:rsidTr="00CE79F9">
        <w:tc>
          <w:tcPr>
            <w:tcW w:w="1188" w:type="dxa"/>
            <w:tcBorders>
              <w:top w:val="nil"/>
              <w:left w:val="nil"/>
            </w:tcBorders>
            <w:shd w:val="clear" w:color="auto" w:fill="CCC0D9"/>
          </w:tcPr>
          <w:p w:rsidR="00EB4FCF" w:rsidRPr="00D47345" w:rsidRDefault="00EB4FCF" w:rsidP="00CE79F9">
            <w:pPr>
              <w:spacing w:after="0" w:line="240" w:lineRule="auto"/>
              <w:rPr>
                <w:rFonts w:cs="Calibri"/>
                <w:b/>
                <w:sz w:val="20"/>
                <w:szCs w:val="20"/>
                <w:lang w:val="nl-NL"/>
              </w:rPr>
            </w:pPr>
            <w:r w:rsidRPr="00D47345">
              <w:rPr>
                <w:rFonts w:cs="Calibri"/>
                <w:b/>
                <w:sz w:val="20"/>
                <w:szCs w:val="20"/>
                <w:lang w:val="nl-NL"/>
              </w:rPr>
              <w:t>Niveau</w:t>
            </w:r>
          </w:p>
        </w:tc>
        <w:tc>
          <w:tcPr>
            <w:tcW w:w="8388" w:type="dxa"/>
            <w:tcBorders>
              <w:top w:val="nil"/>
              <w:right w:val="nil"/>
            </w:tcBorders>
            <w:shd w:val="clear" w:color="auto" w:fill="CCC0D9"/>
          </w:tcPr>
          <w:p w:rsidR="00EB4FCF" w:rsidRPr="00D47345" w:rsidRDefault="00EB4FCF" w:rsidP="00CE79F9">
            <w:pPr>
              <w:spacing w:after="0" w:line="240" w:lineRule="auto"/>
              <w:rPr>
                <w:rFonts w:cs="Calibri"/>
                <w:b/>
                <w:sz w:val="20"/>
                <w:szCs w:val="20"/>
                <w:lang w:val="nl-NL"/>
              </w:rPr>
            </w:pPr>
            <w:r w:rsidRPr="00D47345">
              <w:rPr>
                <w:rFonts w:cs="Calibri"/>
                <w:b/>
                <w:sz w:val="20"/>
                <w:szCs w:val="20"/>
                <w:lang w:val="nl-NL"/>
              </w:rPr>
              <w:t>Omschrijving</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1a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(met homogeniteit) van gerandomiseerde controle studies</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1a-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van gerandomiseerde controle studies die een verontrustende heterogeniteit laten zien.</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1b</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Individuele gerandomiseerde controle studies (met een smal betrouwbaarheidsinterval)</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1b-</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Individuele gerandomiseerde controle studies (met een breed betrouwbaarheidsinterval)</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1c</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 xml:space="preserve">Alle of geen gerandomiseerde </w:t>
            </w:r>
            <w:proofErr w:type="spellStart"/>
            <w:r w:rsidRPr="00D47345">
              <w:rPr>
                <w:rFonts w:cs="Calibri"/>
                <w:sz w:val="20"/>
                <w:szCs w:val="20"/>
                <w:lang w:val="nl-NL"/>
              </w:rPr>
              <w:t>contole</w:t>
            </w:r>
            <w:proofErr w:type="spellEnd"/>
            <w:r w:rsidRPr="00D47345">
              <w:rPr>
                <w:rFonts w:cs="Calibri"/>
                <w:sz w:val="20"/>
                <w:szCs w:val="20"/>
                <w:lang w:val="nl-NL"/>
              </w:rPr>
              <w:t xml:space="preserve"> studies</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2a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(met homogeniteit) van cohort studies</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2a-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van cohort studies die een verontrustende heterogeniteit laten zien.</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2b</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 xml:space="preserve">Individuele cohort studie of een gerandomiseerde studie van lage </w:t>
            </w:r>
            <w:proofErr w:type="spellStart"/>
            <w:r w:rsidRPr="00D47345">
              <w:rPr>
                <w:rFonts w:cs="Calibri"/>
                <w:sz w:val="20"/>
                <w:szCs w:val="20"/>
                <w:lang w:val="nl-NL"/>
              </w:rPr>
              <w:t>kwaleit</w:t>
            </w:r>
            <w:proofErr w:type="spellEnd"/>
            <w:r w:rsidRPr="00D47345">
              <w:rPr>
                <w:rFonts w:cs="Calibri"/>
                <w:sz w:val="20"/>
                <w:szCs w:val="20"/>
                <w:lang w:val="nl-NL"/>
              </w:rPr>
              <w:t xml:space="preserve"> (follow up &lt; 80%)</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2b-</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 xml:space="preserve">Individuele cohort studie of een gerandomiseerde studie van lage kwaliteit (follow up &lt;80%/breed </w:t>
            </w:r>
            <w:r w:rsidRPr="00D47345">
              <w:rPr>
                <w:rFonts w:cs="Calibri"/>
                <w:sz w:val="20"/>
                <w:szCs w:val="20"/>
                <w:lang w:val="nl-NL"/>
              </w:rPr>
              <w:lastRenderedPageBreak/>
              <w:t>betrouwbaarheidsinterval)</w:t>
            </w:r>
          </w:p>
        </w:tc>
      </w:tr>
      <w:tr w:rsidR="00EB4FCF" w:rsidRPr="00D47345"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lastRenderedPageBreak/>
              <w:t>2c</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 xml:space="preserve">‘ </w:t>
            </w:r>
            <w:proofErr w:type="spellStart"/>
            <w:r w:rsidRPr="00D47345">
              <w:rPr>
                <w:rFonts w:cs="Calibri"/>
                <w:sz w:val="20"/>
                <w:szCs w:val="20"/>
              </w:rPr>
              <w:t>Uitkomstmaten</w:t>
            </w:r>
            <w:proofErr w:type="spellEnd"/>
            <w:r w:rsidRPr="00D47345">
              <w:rPr>
                <w:rFonts w:cs="Calibri"/>
                <w:sz w:val="20"/>
                <w:szCs w:val="20"/>
              </w:rPr>
              <w:t xml:space="preserve">’ </w:t>
            </w:r>
            <w:proofErr w:type="spellStart"/>
            <w:r w:rsidRPr="00D47345">
              <w:rPr>
                <w:rFonts w:cs="Calibri"/>
                <w:sz w:val="20"/>
                <w:szCs w:val="20"/>
              </w:rPr>
              <w:t>onderzoek</w:t>
            </w:r>
            <w:proofErr w:type="spellEnd"/>
            <w:r w:rsidRPr="00D47345">
              <w:rPr>
                <w:rFonts w:cs="Calibri"/>
                <w:sz w:val="20"/>
                <w:szCs w:val="20"/>
              </w:rPr>
              <w:t xml:space="preserve">; </w:t>
            </w:r>
            <w:proofErr w:type="spellStart"/>
            <w:r w:rsidRPr="00D47345">
              <w:rPr>
                <w:rFonts w:cs="Calibri"/>
                <w:sz w:val="20"/>
                <w:szCs w:val="20"/>
              </w:rPr>
              <w:t>ecologische</w:t>
            </w:r>
            <w:proofErr w:type="spellEnd"/>
            <w:r w:rsidRPr="00D47345">
              <w:rPr>
                <w:rFonts w:cs="Calibri"/>
                <w:sz w:val="20"/>
                <w:szCs w:val="20"/>
              </w:rPr>
              <w:t xml:space="preserve"> studies</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3a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(met homogeniteit) van case-control studies</w:t>
            </w:r>
          </w:p>
        </w:tc>
      </w:tr>
      <w:tr w:rsidR="00EB4FCF" w:rsidRPr="00B73906"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3a-</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Systematische reviews van case-control studies die een verontrustende heterogeniteit laten zien.</w:t>
            </w:r>
          </w:p>
        </w:tc>
      </w:tr>
      <w:tr w:rsidR="00EB4FCF" w:rsidRPr="00D47345" w:rsidTr="00CE79F9">
        <w:tc>
          <w:tcPr>
            <w:tcW w:w="1188" w:type="dxa"/>
            <w:tcBorders>
              <w:left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3b</w:t>
            </w:r>
          </w:p>
        </w:tc>
        <w:tc>
          <w:tcPr>
            <w:tcW w:w="8388" w:type="dxa"/>
            <w:tcBorders>
              <w:right w:val="nil"/>
            </w:tcBorders>
            <w:shd w:val="clear" w:color="auto" w:fill="CCC0D9"/>
          </w:tcPr>
          <w:p w:rsidR="00EB4FCF" w:rsidRPr="00D47345" w:rsidRDefault="00EB4FCF" w:rsidP="00432222">
            <w:pPr>
              <w:spacing w:after="0" w:line="240" w:lineRule="auto"/>
              <w:rPr>
                <w:rFonts w:cs="Calibri"/>
                <w:sz w:val="20"/>
                <w:szCs w:val="20"/>
              </w:rPr>
            </w:pPr>
            <w:proofErr w:type="spellStart"/>
            <w:r w:rsidRPr="00D47345">
              <w:rPr>
                <w:rFonts w:cs="Calibri"/>
                <w:sz w:val="20"/>
                <w:szCs w:val="20"/>
              </w:rPr>
              <w:t>Individuele</w:t>
            </w:r>
            <w:proofErr w:type="spellEnd"/>
            <w:r w:rsidRPr="00D47345">
              <w:rPr>
                <w:rFonts w:cs="Calibri"/>
                <w:sz w:val="20"/>
                <w:szCs w:val="20"/>
              </w:rPr>
              <w:t xml:space="preserve"> case-control </w:t>
            </w:r>
            <w:proofErr w:type="spellStart"/>
            <w:r w:rsidRPr="00D47345">
              <w:rPr>
                <w:rFonts w:cs="Calibri"/>
                <w:sz w:val="20"/>
                <w:szCs w:val="20"/>
              </w:rPr>
              <w:t>studie</w:t>
            </w:r>
            <w:proofErr w:type="spellEnd"/>
          </w:p>
        </w:tc>
      </w:tr>
      <w:tr w:rsidR="00EB4FCF" w:rsidRPr="00B73906" w:rsidTr="00CE79F9">
        <w:tc>
          <w:tcPr>
            <w:tcW w:w="1188" w:type="dxa"/>
            <w:tcBorders>
              <w:left w:val="nil"/>
              <w:bottom w:val="single" w:sz="4" w:space="0" w:color="000000"/>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4</w:t>
            </w:r>
          </w:p>
        </w:tc>
        <w:tc>
          <w:tcPr>
            <w:tcW w:w="8388" w:type="dxa"/>
            <w:tcBorders>
              <w:bottom w:val="single" w:sz="4" w:space="0" w:color="000000"/>
              <w:right w:val="nil"/>
            </w:tcBorders>
            <w:shd w:val="clear" w:color="auto" w:fill="CCC0D9"/>
          </w:tcPr>
          <w:p w:rsidR="00EB4FCF" w:rsidRPr="00D47345" w:rsidRDefault="00EB4FCF" w:rsidP="00432222">
            <w:pPr>
              <w:spacing w:after="0" w:line="240" w:lineRule="auto"/>
              <w:rPr>
                <w:rFonts w:cs="Calibri"/>
                <w:sz w:val="20"/>
                <w:szCs w:val="20"/>
                <w:lang w:val="nl-NL"/>
              </w:rPr>
            </w:pPr>
            <w:proofErr w:type="spellStart"/>
            <w:r w:rsidRPr="00D47345">
              <w:rPr>
                <w:rFonts w:cs="Calibri"/>
                <w:sz w:val="20"/>
                <w:szCs w:val="20"/>
                <w:lang w:val="nl-NL"/>
              </w:rPr>
              <w:t>Casuistiek</w:t>
            </w:r>
            <w:proofErr w:type="spellEnd"/>
            <w:r w:rsidRPr="00D47345">
              <w:rPr>
                <w:rFonts w:cs="Calibri"/>
                <w:sz w:val="20"/>
                <w:szCs w:val="20"/>
                <w:lang w:val="nl-NL"/>
              </w:rPr>
              <w:t xml:space="preserve"> series (of slechte kwaliteit cohort- en case-control studies)</w:t>
            </w:r>
          </w:p>
        </w:tc>
      </w:tr>
      <w:tr w:rsidR="00EB4FCF" w:rsidRPr="00B73906" w:rsidTr="00CE79F9">
        <w:tc>
          <w:tcPr>
            <w:tcW w:w="1188" w:type="dxa"/>
            <w:tcBorders>
              <w:left w:val="nil"/>
              <w:bottom w:val="nil"/>
            </w:tcBorders>
            <w:shd w:val="clear" w:color="auto" w:fill="CCC0D9"/>
          </w:tcPr>
          <w:p w:rsidR="00EB4FCF" w:rsidRPr="00D47345" w:rsidRDefault="00EB4FCF" w:rsidP="00432222">
            <w:pPr>
              <w:spacing w:after="0" w:line="240" w:lineRule="auto"/>
              <w:rPr>
                <w:rFonts w:cs="Calibri"/>
                <w:sz w:val="20"/>
                <w:szCs w:val="20"/>
              </w:rPr>
            </w:pPr>
            <w:r w:rsidRPr="00D47345">
              <w:rPr>
                <w:rFonts w:cs="Calibri"/>
                <w:sz w:val="20"/>
                <w:szCs w:val="20"/>
              </w:rPr>
              <w:t>5</w:t>
            </w:r>
          </w:p>
        </w:tc>
        <w:tc>
          <w:tcPr>
            <w:tcW w:w="8388" w:type="dxa"/>
            <w:tcBorders>
              <w:bottom w:val="nil"/>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Mening van de expert zonder een expliciete kritische beoordeling, of gebaseerd op fysiologie</w:t>
            </w:r>
            <w:r w:rsidRPr="00D47345">
              <w:rPr>
                <w:rFonts w:cs="Calibri"/>
                <w:i/>
                <w:sz w:val="20"/>
                <w:szCs w:val="20"/>
                <w:lang w:val="nl-NL"/>
              </w:rPr>
              <w:t xml:space="preserve">, </w:t>
            </w:r>
            <w:r w:rsidRPr="00D47345">
              <w:rPr>
                <w:rFonts w:cs="Calibri"/>
                <w:sz w:val="20"/>
                <w:szCs w:val="20"/>
                <w:lang w:val="nl-NL"/>
              </w:rPr>
              <w:t xml:space="preserve">databank onderzoek of ‘eerste principes’ </w:t>
            </w:r>
          </w:p>
          <w:p w:rsidR="00EB4FCF" w:rsidRPr="00D47345" w:rsidRDefault="00EB4FCF" w:rsidP="00432222">
            <w:pPr>
              <w:spacing w:after="0" w:line="240" w:lineRule="auto"/>
              <w:rPr>
                <w:rFonts w:cs="Calibri"/>
                <w:sz w:val="20"/>
                <w:szCs w:val="20"/>
                <w:lang w:val="nl-NL"/>
              </w:rPr>
            </w:pPr>
          </w:p>
        </w:tc>
      </w:tr>
      <w:tr w:rsidR="00EB4FCF" w:rsidRPr="00B73906" w:rsidTr="00CE79F9">
        <w:tc>
          <w:tcPr>
            <w:tcW w:w="9576" w:type="dxa"/>
            <w:gridSpan w:val="2"/>
            <w:tcBorders>
              <w:top w:val="nil"/>
              <w:left w:val="nil"/>
              <w:bottom w:val="nil"/>
              <w:right w:val="nil"/>
            </w:tcBorders>
            <w:shd w:val="clear" w:color="auto" w:fill="CCC0D9"/>
          </w:tcPr>
          <w:p w:rsidR="00EB4FCF" w:rsidRPr="00D47345" w:rsidRDefault="00EB4FCF" w:rsidP="00432222">
            <w:pPr>
              <w:spacing w:after="0" w:line="240" w:lineRule="auto"/>
              <w:rPr>
                <w:rFonts w:cs="Calibri"/>
                <w:sz w:val="20"/>
                <w:szCs w:val="20"/>
                <w:lang w:val="nl-NL"/>
              </w:rPr>
            </w:pPr>
            <w:r w:rsidRPr="00D47345">
              <w:rPr>
                <w:rFonts w:cs="Calibri"/>
                <w:sz w:val="20"/>
                <w:szCs w:val="20"/>
                <w:lang w:val="nl-NL"/>
              </w:rPr>
              <w:t>*www.essentialevidenceplus.com/product/ebm_loe.cfm?show=oxford (site is bezocht op 14 november 2009)</w:t>
            </w:r>
          </w:p>
        </w:tc>
      </w:tr>
    </w:tbl>
    <w:p w:rsidR="003D0893" w:rsidRDefault="003D0893" w:rsidP="003D0893">
      <w:pPr>
        <w:rPr>
          <w:lang w:val="nl-NL"/>
        </w:rPr>
      </w:pPr>
    </w:p>
    <w:p w:rsidR="003D0893" w:rsidRDefault="003D0893" w:rsidP="00FE0CD4">
      <w:pPr>
        <w:pStyle w:val="Plattetekst"/>
        <w:rPr>
          <w:lang w:val="nl-NL"/>
        </w:rPr>
      </w:pPr>
    </w:p>
    <w:tbl>
      <w:tblPr>
        <w:tblW w:w="0" w:type="auto"/>
        <w:tblBorders>
          <w:insideH w:val="single" w:sz="4" w:space="0" w:color="000000"/>
        </w:tblBorders>
        <w:shd w:val="clear" w:color="auto" w:fill="CCC0D9"/>
        <w:tblLook w:val="00A0" w:firstRow="1" w:lastRow="0" w:firstColumn="1" w:lastColumn="0" w:noHBand="0" w:noVBand="0"/>
      </w:tblPr>
      <w:tblGrid>
        <w:gridCol w:w="1915"/>
        <w:gridCol w:w="1915"/>
        <w:gridCol w:w="1915"/>
        <w:gridCol w:w="1915"/>
        <w:gridCol w:w="1916"/>
      </w:tblGrid>
      <w:tr w:rsidR="00BC33FC" w:rsidRPr="00B73906" w:rsidTr="00CE79F9">
        <w:tc>
          <w:tcPr>
            <w:tcW w:w="9576" w:type="dxa"/>
            <w:gridSpan w:val="5"/>
            <w:tcBorders>
              <w:bottom w:val="nil"/>
            </w:tcBorders>
            <w:shd w:val="clear" w:color="auto" w:fill="CCC0D9"/>
          </w:tcPr>
          <w:p w:rsidR="00BC33FC" w:rsidRPr="00D47345" w:rsidRDefault="00BC33FC" w:rsidP="00432222">
            <w:pPr>
              <w:spacing w:after="0" w:line="240" w:lineRule="auto"/>
              <w:rPr>
                <w:rFonts w:cs="Calibri"/>
                <w:b/>
                <w:sz w:val="24"/>
                <w:szCs w:val="24"/>
                <w:lang w:val="nl-NL"/>
              </w:rPr>
            </w:pPr>
            <w:r w:rsidRPr="00D47345">
              <w:rPr>
                <w:rFonts w:cs="Calibri"/>
                <w:b/>
                <w:sz w:val="24"/>
                <w:szCs w:val="24"/>
                <w:lang w:val="nl-NL"/>
              </w:rPr>
              <w:t>Tabel 3. Categorieën  van einddoelen onderverdeeld naar wondtype en evaluatie van de vooraf vastgestelde definities</w:t>
            </w:r>
          </w:p>
          <w:p w:rsidR="00BC33FC" w:rsidRPr="00D47345" w:rsidRDefault="00BC33FC" w:rsidP="00432222">
            <w:pPr>
              <w:spacing w:after="0" w:line="240" w:lineRule="auto"/>
              <w:rPr>
                <w:rFonts w:cs="Calibri"/>
                <w:b/>
                <w:sz w:val="20"/>
                <w:szCs w:val="20"/>
                <w:lang w:val="nl-NL"/>
              </w:rPr>
            </w:pPr>
          </w:p>
        </w:tc>
      </w:tr>
      <w:tr w:rsidR="00BC33FC" w:rsidRPr="00B73906" w:rsidTr="00CE79F9">
        <w:tc>
          <w:tcPr>
            <w:tcW w:w="1915" w:type="dxa"/>
            <w:tcBorders>
              <w:top w:val="nil"/>
              <w:bottom w:val="single" w:sz="4" w:space="0" w:color="000000"/>
            </w:tcBorders>
            <w:shd w:val="clear" w:color="auto" w:fill="CCC0D9"/>
          </w:tcPr>
          <w:p w:rsidR="00BC33FC" w:rsidRPr="00D47345" w:rsidRDefault="00BC33FC" w:rsidP="00CE79F9">
            <w:pPr>
              <w:spacing w:after="0" w:line="240" w:lineRule="auto"/>
              <w:rPr>
                <w:rFonts w:cs="Calibri"/>
                <w:b/>
                <w:sz w:val="20"/>
                <w:szCs w:val="20"/>
                <w:lang w:val="nl-NL"/>
              </w:rPr>
            </w:pPr>
            <w:r w:rsidRPr="00D47345">
              <w:rPr>
                <w:rFonts w:cs="Calibri"/>
                <w:b/>
                <w:sz w:val="20"/>
                <w:szCs w:val="20"/>
                <w:lang w:val="nl-NL"/>
              </w:rPr>
              <w:t>Statistiek</w:t>
            </w:r>
          </w:p>
        </w:tc>
        <w:tc>
          <w:tcPr>
            <w:tcW w:w="1915" w:type="dxa"/>
            <w:tcBorders>
              <w:top w:val="nil"/>
              <w:bottom w:val="single" w:sz="4" w:space="0" w:color="000000"/>
            </w:tcBorders>
            <w:shd w:val="clear" w:color="auto" w:fill="CCC0D9"/>
          </w:tcPr>
          <w:p w:rsidR="00BC33FC" w:rsidRPr="00D47345" w:rsidRDefault="00BC33FC" w:rsidP="00CE79F9">
            <w:pPr>
              <w:spacing w:after="0" w:line="240" w:lineRule="auto"/>
              <w:rPr>
                <w:rFonts w:cs="Calibri"/>
                <w:b/>
                <w:sz w:val="20"/>
                <w:szCs w:val="20"/>
                <w:lang w:val="nl-NL"/>
              </w:rPr>
            </w:pPr>
            <w:r w:rsidRPr="00D47345">
              <w:rPr>
                <w:rFonts w:cs="Calibri"/>
                <w:b/>
                <w:sz w:val="20"/>
                <w:szCs w:val="20"/>
                <w:lang w:val="nl-NL"/>
              </w:rPr>
              <w:t xml:space="preserve">Eindpunten </w:t>
            </w:r>
            <w:r w:rsidRPr="00D47345">
              <w:rPr>
                <w:rFonts w:cs="Calibri"/>
                <w:b/>
                <w:sz w:val="20"/>
                <w:szCs w:val="20"/>
                <w:lang w:val="nl-NL"/>
              </w:rPr>
              <w:br/>
            </w:r>
          </w:p>
        </w:tc>
        <w:tc>
          <w:tcPr>
            <w:tcW w:w="1915" w:type="dxa"/>
            <w:tcBorders>
              <w:top w:val="nil"/>
              <w:bottom w:val="single" w:sz="4" w:space="0" w:color="000000"/>
            </w:tcBorders>
            <w:shd w:val="clear" w:color="auto" w:fill="E5DFEC"/>
          </w:tcPr>
          <w:p w:rsidR="00BC33FC" w:rsidRPr="00D47345" w:rsidRDefault="00BC33FC" w:rsidP="00CE79F9">
            <w:pPr>
              <w:spacing w:after="0" w:line="240" w:lineRule="auto"/>
              <w:rPr>
                <w:rFonts w:cs="Calibri"/>
                <w:b/>
                <w:sz w:val="20"/>
                <w:szCs w:val="20"/>
                <w:lang w:val="nl-NL"/>
              </w:rPr>
            </w:pPr>
            <w:r w:rsidRPr="00D47345">
              <w:rPr>
                <w:rFonts w:cs="Calibri"/>
                <w:b/>
                <w:sz w:val="20"/>
                <w:szCs w:val="20"/>
                <w:lang w:val="nl-NL"/>
              </w:rPr>
              <w:t>Type en aantal ulcera</w:t>
            </w:r>
          </w:p>
        </w:tc>
        <w:tc>
          <w:tcPr>
            <w:tcW w:w="1915" w:type="dxa"/>
            <w:tcBorders>
              <w:top w:val="nil"/>
              <w:bottom w:val="single" w:sz="4" w:space="0" w:color="000000"/>
            </w:tcBorders>
            <w:shd w:val="clear" w:color="auto" w:fill="CCC0D9"/>
          </w:tcPr>
          <w:p w:rsidR="00BC33FC" w:rsidRPr="00D47345" w:rsidRDefault="00BC33FC" w:rsidP="00CE79F9">
            <w:pPr>
              <w:spacing w:after="0" w:line="240" w:lineRule="auto"/>
              <w:rPr>
                <w:rFonts w:cs="Calibri"/>
                <w:b/>
                <w:sz w:val="20"/>
                <w:szCs w:val="20"/>
                <w:lang w:val="nl-NL"/>
              </w:rPr>
            </w:pPr>
            <w:r w:rsidRPr="00D47345">
              <w:rPr>
                <w:rFonts w:cs="Calibri"/>
                <w:b/>
                <w:sz w:val="20"/>
                <w:szCs w:val="20"/>
                <w:lang w:val="nl-NL"/>
              </w:rPr>
              <w:t>Eindpunten gedefinieerd bij de start van de studie</w:t>
            </w:r>
          </w:p>
        </w:tc>
        <w:tc>
          <w:tcPr>
            <w:tcW w:w="1916" w:type="dxa"/>
            <w:tcBorders>
              <w:top w:val="nil"/>
              <w:bottom w:val="single" w:sz="4" w:space="0" w:color="000000"/>
            </w:tcBorders>
            <w:shd w:val="clear" w:color="auto" w:fill="E5DFEC"/>
          </w:tcPr>
          <w:p w:rsidR="00BC33FC" w:rsidRPr="00D47345" w:rsidRDefault="00BC33FC" w:rsidP="00CE79F9">
            <w:pPr>
              <w:spacing w:after="0" w:line="240" w:lineRule="auto"/>
              <w:rPr>
                <w:rFonts w:cs="Calibri"/>
                <w:b/>
                <w:sz w:val="20"/>
                <w:szCs w:val="20"/>
                <w:lang w:val="nl-NL"/>
              </w:rPr>
            </w:pPr>
            <w:r w:rsidRPr="00D47345">
              <w:rPr>
                <w:rFonts w:cs="Calibri"/>
                <w:b/>
                <w:sz w:val="20"/>
                <w:szCs w:val="20"/>
                <w:lang w:val="nl-NL"/>
              </w:rPr>
              <w:t>Eindpunten niet gedefinieerd bij de start van de studie</w:t>
            </w:r>
          </w:p>
        </w:tc>
      </w:tr>
      <w:tr w:rsidR="00BC33FC" w:rsidRPr="00D47345" w:rsidTr="00CE79F9">
        <w:tc>
          <w:tcPr>
            <w:tcW w:w="1915" w:type="dxa"/>
            <w:tcBorders>
              <w:top w:val="single" w:sz="4" w:space="0" w:color="000000"/>
            </w:tcBorders>
            <w:shd w:val="clear" w:color="auto" w:fill="CCC0D9"/>
          </w:tcPr>
          <w:p w:rsidR="00BC33FC" w:rsidRPr="00D47345" w:rsidRDefault="00BC33FC" w:rsidP="00432222">
            <w:pPr>
              <w:spacing w:after="0" w:line="240" w:lineRule="auto"/>
              <w:rPr>
                <w:rFonts w:cs="Calibri"/>
                <w:b/>
                <w:sz w:val="20"/>
                <w:szCs w:val="20"/>
                <w:lang w:val="nl-NL"/>
              </w:rPr>
            </w:pPr>
          </w:p>
        </w:tc>
        <w:tc>
          <w:tcPr>
            <w:tcW w:w="1915" w:type="dxa"/>
            <w:tcBorders>
              <w:top w:val="single" w:sz="4" w:space="0" w:color="000000"/>
            </w:tcBorders>
            <w:shd w:val="clear" w:color="auto" w:fill="CCC0D9"/>
          </w:tcPr>
          <w:p w:rsidR="00BC33FC" w:rsidRPr="00D47345" w:rsidRDefault="00BC33FC" w:rsidP="00432222">
            <w:pPr>
              <w:spacing w:after="0" w:line="240" w:lineRule="auto"/>
              <w:rPr>
                <w:rFonts w:cs="Calibri"/>
                <w:b/>
                <w:sz w:val="20"/>
                <w:szCs w:val="20"/>
                <w:lang w:val="nl-NL"/>
              </w:rPr>
            </w:pPr>
            <w:r w:rsidRPr="00D47345">
              <w:rPr>
                <w:rFonts w:cs="Calibri"/>
                <w:b/>
                <w:sz w:val="20"/>
                <w:szCs w:val="20"/>
                <w:lang w:val="nl-NL"/>
              </w:rPr>
              <w:t>Aantal (%)</w:t>
            </w:r>
          </w:p>
        </w:tc>
        <w:tc>
          <w:tcPr>
            <w:tcW w:w="1915" w:type="dxa"/>
            <w:tcBorders>
              <w:top w:val="single" w:sz="4" w:space="0" w:color="000000"/>
            </w:tcBorders>
            <w:shd w:val="clear" w:color="auto" w:fill="E5DFEC"/>
          </w:tcPr>
          <w:p w:rsidR="00BC33FC" w:rsidRPr="00D47345" w:rsidRDefault="00BC33FC" w:rsidP="00432222">
            <w:pPr>
              <w:spacing w:after="0" w:line="240" w:lineRule="auto"/>
              <w:rPr>
                <w:rFonts w:cs="Calibri"/>
                <w:b/>
                <w:sz w:val="20"/>
                <w:szCs w:val="20"/>
                <w:lang w:val="nl-NL"/>
              </w:rPr>
            </w:pPr>
          </w:p>
        </w:tc>
        <w:tc>
          <w:tcPr>
            <w:tcW w:w="1915" w:type="dxa"/>
            <w:tcBorders>
              <w:top w:val="single" w:sz="4" w:space="0" w:color="000000"/>
            </w:tcBorders>
            <w:shd w:val="clear" w:color="auto" w:fill="CCC0D9"/>
          </w:tcPr>
          <w:p w:rsidR="00BC33FC" w:rsidRPr="00D47345" w:rsidRDefault="00BC33FC" w:rsidP="00432222">
            <w:pPr>
              <w:spacing w:after="0" w:line="240" w:lineRule="auto"/>
              <w:rPr>
                <w:rFonts w:cs="Calibri"/>
                <w:b/>
                <w:sz w:val="20"/>
                <w:szCs w:val="20"/>
                <w:lang w:val="nl-NL"/>
              </w:rPr>
            </w:pPr>
            <w:r w:rsidRPr="00D47345">
              <w:rPr>
                <w:rFonts w:cs="Calibri"/>
                <w:b/>
                <w:sz w:val="20"/>
                <w:szCs w:val="20"/>
                <w:lang w:val="nl-NL"/>
              </w:rPr>
              <w:t>Aantal (%)</w:t>
            </w:r>
          </w:p>
        </w:tc>
        <w:tc>
          <w:tcPr>
            <w:tcW w:w="1916" w:type="dxa"/>
            <w:tcBorders>
              <w:top w:val="single" w:sz="4" w:space="0" w:color="000000"/>
            </w:tcBorders>
            <w:shd w:val="clear" w:color="auto" w:fill="E5DFEC"/>
          </w:tcPr>
          <w:p w:rsidR="00BC33FC" w:rsidRPr="00D47345" w:rsidRDefault="00BC33FC" w:rsidP="00432222">
            <w:pPr>
              <w:spacing w:after="0" w:line="240" w:lineRule="auto"/>
              <w:rPr>
                <w:rFonts w:cs="Calibri"/>
                <w:b/>
                <w:sz w:val="20"/>
                <w:szCs w:val="20"/>
                <w:lang w:val="nl-NL"/>
              </w:rPr>
            </w:pPr>
            <w:r w:rsidRPr="00D47345">
              <w:rPr>
                <w:rFonts w:cs="Calibri"/>
                <w:b/>
                <w:sz w:val="20"/>
                <w:szCs w:val="20"/>
                <w:lang w:val="nl-NL"/>
              </w:rPr>
              <w:t>Aantal (%)</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proofErr w:type="spellStart"/>
            <w:r w:rsidRPr="00D47345">
              <w:rPr>
                <w:rFonts w:cs="Calibri"/>
                <w:sz w:val="20"/>
                <w:szCs w:val="20"/>
                <w:lang w:val="nl-NL"/>
              </w:rPr>
              <w:t>Biomarkers</w:t>
            </w:r>
            <w:proofErr w:type="spellEnd"/>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14 (4.5)</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3</w:t>
            </w:r>
            <w:r w:rsidRPr="00D47345">
              <w:rPr>
                <w:rFonts w:cs="Calibri"/>
                <w:sz w:val="20"/>
                <w:szCs w:val="20"/>
                <w:lang w:val="nl-NL"/>
              </w:rPr>
              <w:br/>
              <w:t>LU 6</w:t>
            </w:r>
            <w:r w:rsidRPr="00D47345">
              <w:rPr>
                <w:rFonts w:cs="Calibri"/>
                <w:sz w:val="20"/>
                <w:szCs w:val="20"/>
                <w:lang w:val="nl-NL"/>
              </w:rPr>
              <w:br/>
              <w:t>PU 2</w:t>
            </w:r>
            <w:r w:rsidRPr="00D47345">
              <w:rPr>
                <w:rFonts w:cs="Calibri"/>
                <w:sz w:val="20"/>
                <w:szCs w:val="20"/>
                <w:lang w:val="nl-NL"/>
              </w:rPr>
              <w:br/>
              <w:t>Gemengd 3</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11 (79)</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3 (21)</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Verandering in wondconditie</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28 (9.0)</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3</w:t>
            </w:r>
            <w:r w:rsidRPr="00D47345">
              <w:rPr>
                <w:rFonts w:cs="Calibri"/>
                <w:sz w:val="20"/>
                <w:szCs w:val="20"/>
                <w:lang w:val="nl-NL"/>
              </w:rPr>
              <w:br/>
              <w:t>LU 16</w:t>
            </w:r>
            <w:r w:rsidRPr="00D47345">
              <w:rPr>
                <w:rFonts w:cs="Calibri"/>
                <w:sz w:val="20"/>
                <w:szCs w:val="20"/>
                <w:lang w:val="nl-NL"/>
              </w:rPr>
              <w:br/>
              <w:t>PU 5</w:t>
            </w:r>
            <w:r w:rsidRPr="00D47345">
              <w:rPr>
                <w:rFonts w:cs="Calibri"/>
                <w:sz w:val="20"/>
                <w:szCs w:val="20"/>
                <w:lang w:val="nl-NL"/>
              </w:rPr>
              <w:br/>
              <w:t>Gemengd 5</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16 (57)</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12 (43)</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Circulatie</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6 (1.9)</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0</w:t>
            </w:r>
            <w:r w:rsidRPr="00D47345">
              <w:rPr>
                <w:rFonts w:cs="Calibri"/>
                <w:sz w:val="20"/>
                <w:szCs w:val="20"/>
                <w:lang w:val="nl-NL"/>
              </w:rPr>
              <w:br/>
              <w:t>LU 6</w:t>
            </w:r>
            <w:r w:rsidRPr="00D47345">
              <w:rPr>
                <w:rFonts w:cs="Calibri"/>
                <w:sz w:val="20"/>
                <w:szCs w:val="20"/>
                <w:lang w:val="nl-NL"/>
              </w:rPr>
              <w:br/>
              <w:t>PU 0</w:t>
            </w:r>
            <w:r w:rsidRPr="00D47345">
              <w:rPr>
                <w:rFonts w:cs="Calibri"/>
                <w:sz w:val="20"/>
                <w:szCs w:val="20"/>
                <w:lang w:val="nl-NL"/>
              </w:rPr>
              <w:br/>
              <w:t>Gemengd 0</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2 (33)</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4 (67)</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Kosten en gebruikte middelen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14 (4.5)</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2</w:t>
            </w:r>
            <w:r w:rsidRPr="00D47345">
              <w:rPr>
                <w:rFonts w:cs="Calibri"/>
                <w:sz w:val="20"/>
                <w:szCs w:val="20"/>
                <w:lang w:val="nl-NL"/>
              </w:rPr>
              <w:br/>
              <w:t>LU 9</w:t>
            </w:r>
            <w:r w:rsidRPr="00D47345">
              <w:rPr>
                <w:rFonts w:cs="Calibri"/>
                <w:sz w:val="20"/>
                <w:szCs w:val="20"/>
                <w:lang w:val="nl-NL"/>
              </w:rPr>
              <w:br/>
              <w:t>PU 2</w:t>
            </w:r>
            <w:r w:rsidRPr="00D47345">
              <w:rPr>
                <w:rFonts w:cs="Calibri"/>
                <w:sz w:val="20"/>
                <w:szCs w:val="20"/>
                <w:lang w:val="nl-NL"/>
              </w:rPr>
              <w:br/>
              <w:t>Gemengd 1</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8 (57)</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6 (43)</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 xml:space="preserve">prestaties van </w:t>
            </w:r>
            <w:proofErr w:type="spellStart"/>
            <w:r w:rsidRPr="00D47345">
              <w:rPr>
                <w:rFonts w:cs="Calibri"/>
                <w:sz w:val="20"/>
                <w:szCs w:val="20"/>
                <w:lang w:val="nl-NL"/>
              </w:rPr>
              <w:t>wondbedekkings</w:t>
            </w:r>
            <w:proofErr w:type="spellEnd"/>
            <w:r w:rsidRPr="00D47345">
              <w:rPr>
                <w:rFonts w:cs="Calibri"/>
                <w:sz w:val="20"/>
                <w:szCs w:val="20"/>
                <w:lang w:val="nl-NL"/>
              </w:rPr>
              <w:t xml:space="preserve"> middelen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22 (7.0)</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0</w:t>
            </w:r>
          </w:p>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LU 12</w:t>
            </w:r>
            <w:r w:rsidRPr="00D47345">
              <w:rPr>
                <w:rFonts w:cs="Calibri"/>
                <w:sz w:val="20"/>
                <w:szCs w:val="20"/>
                <w:lang w:val="nl-NL"/>
              </w:rPr>
              <w:br/>
              <w:t>PU 8</w:t>
            </w:r>
            <w:r w:rsidRPr="00D47345">
              <w:rPr>
                <w:rFonts w:cs="Calibri"/>
                <w:sz w:val="20"/>
                <w:szCs w:val="20"/>
                <w:lang w:val="nl-NL"/>
              </w:rPr>
              <w:br/>
              <w:t xml:space="preserve">Gemengd 2 </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9 (41)</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13 (59)</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Tekenen van infectie</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14 (4.5)</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8</w:t>
            </w:r>
            <w:r w:rsidRPr="00D47345">
              <w:rPr>
                <w:rFonts w:cs="Calibri"/>
                <w:sz w:val="20"/>
                <w:szCs w:val="20"/>
                <w:lang w:val="nl-NL"/>
              </w:rPr>
              <w:br/>
              <w:t>LU 2</w:t>
            </w:r>
            <w:r w:rsidRPr="00D47345">
              <w:rPr>
                <w:rFonts w:cs="Calibri"/>
                <w:sz w:val="20"/>
                <w:szCs w:val="20"/>
                <w:lang w:val="nl-NL"/>
              </w:rPr>
              <w:br/>
              <w:t>PU 2</w:t>
            </w:r>
            <w:r w:rsidRPr="00D47345">
              <w:rPr>
                <w:rFonts w:cs="Calibri"/>
                <w:sz w:val="20"/>
                <w:szCs w:val="20"/>
                <w:lang w:val="nl-NL"/>
              </w:rPr>
              <w:br/>
              <w:t>Gemengd 2</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10 (71)</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4 (29)</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Kwaliteit van leven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18 (5.8)</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1</w:t>
            </w:r>
            <w:r w:rsidRPr="00D47345">
              <w:rPr>
                <w:rFonts w:cs="Calibri"/>
                <w:sz w:val="20"/>
                <w:szCs w:val="20"/>
                <w:lang w:val="nl-NL"/>
              </w:rPr>
              <w:br/>
              <w:t>LU 14</w:t>
            </w:r>
            <w:r w:rsidRPr="00D47345">
              <w:rPr>
                <w:rFonts w:cs="Calibri"/>
                <w:sz w:val="20"/>
                <w:szCs w:val="20"/>
                <w:lang w:val="nl-NL"/>
              </w:rPr>
              <w:br/>
              <w:t>PU 2</w:t>
            </w:r>
            <w:r w:rsidRPr="00D47345">
              <w:rPr>
                <w:rFonts w:cs="Calibri"/>
                <w:sz w:val="20"/>
                <w:szCs w:val="20"/>
                <w:lang w:val="nl-NL"/>
              </w:rPr>
              <w:br/>
              <w:t>Gemengd 1</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11 (61)</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7 (39)</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Symptomen, tekenen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41 (13.2)</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6</w:t>
            </w:r>
            <w:r w:rsidRPr="00D47345">
              <w:rPr>
                <w:rFonts w:cs="Calibri"/>
                <w:sz w:val="20"/>
                <w:szCs w:val="20"/>
                <w:lang w:val="nl-NL"/>
              </w:rPr>
              <w:br/>
              <w:t>LU 25</w:t>
            </w:r>
            <w:r w:rsidRPr="00D47345">
              <w:rPr>
                <w:rFonts w:cs="Calibri"/>
                <w:sz w:val="20"/>
                <w:szCs w:val="20"/>
                <w:lang w:val="nl-NL"/>
              </w:rPr>
              <w:br/>
              <w:t>PU 7</w:t>
            </w:r>
            <w:r w:rsidRPr="00D47345">
              <w:rPr>
                <w:rFonts w:cs="Calibri"/>
                <w:sz w:val="20"/>
                <w:szCs w:val="20"/>
                <w:lang w:val="nl-NL"/>
              </w:rPr>
              <w:br/>
            </w:r>
            <w:r w:rsidRPr="00D47345">
              <w:rPr>
                <w:rFonts w:cs="Calibri"/>
                <w:sz w:val="20"/>
                <w:szCs w:val="20"/>
                <w:lang w:val="nl-NL"/>
              </w:rPr>
              <w:lastRenderedPageBreak/>
              <w:t>Gemengd 3</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lastRenderedPageBreak/>
              <w:t>17 (41.5)</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24 (58.5)</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lastRenderedPageBreak/>
              <w:t>mate van verkleining van het wondoppervlak</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75 (24,1)</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18</w:t>
            </w:r>
            <w:r w:rsidRPr="00D47345">
              <w:rPr>
                <w:rFonts w:cs="Calibri"/>
                <w:sz w:val="20"/>
                <w:szCs w:val="20"/>
                <w:lang w:val="nl-NL"/>
              </w:rPr>
              <w:br/>
              <w:t>LU 32</w:t>
            </w:r>
            <w:r w:rsidRPr="00D47345">
              <w:rPr>
                <w:rFonts w:cs="Calibri"/>
                <w:sz w:val="20"/>
                <w:szCs w:val="20"/>
                <w:lang w:val="nl-NL"/>
              </w:rPr>
              <w:br/>
              <w:t>PU 19</w:t>
            </w:r>
            <w:r w:rsidRPr="00D47345">
              <w:rPr>
                <w:rFonts w:cs="Calibri"/>
                <w:sz w:val="20"/>
                <w:szCs w:val="20"/>
                <w:lang w:val="nl-NL"/>
              </w:rPr>
              <w:br/>
              <w:t>Gemengd 5</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40 (53)</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35 (47)</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 xml:space="preserve">Wond sluiting </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53 (16.9)</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18</w:t>
            </w:r>
            <w:r w:rsidRPr="00D47345">
              <w:rPr>
                <w:rFonts w:cs="Calibri"/>
                <w:sz w:val="20"/>
                <w:szCs w:val="20"/>
                <w:lang w:val="nl-NL"/>
              </w:rPr>
              <w:br/>
              <w:t>LU 24</w:t>
            </w:r>
            <w:r w:rsidRPr="00D47345">
              <w:rPr>
                <w:rFonts w:cs="Calibri"/>
                <w:sz w:val="20"/>
                <w:szCs w:val="20"/>
                <w:lang w:val="nl-NL"/>
              </w:rPr>
              <w:br/>
              <w:t>PU 9</w:t>
            </w:r>
            <w:r w:rsidRPr="00D47345">
              <w:rPr>
                <w:rFonts w:cs="Calibri"/>
                <w:sz w:val="20"/>
                <w:szCs w:val="20"/>
                <w:lang w:val="nl-NL"/>
              </w:rPr>
              <w:br/>
              <w:t>Gemengd 2</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34 (64)</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19 (36)</w:t>
            </w: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genezingstijd</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28 (9)</w:t>
            </w:r>
          </w:p>
        </w:tc>
        <w:tc>
          <w:tcPr>
            <w:tcW w:w="1915" w:type="dxa"/>
            <w:shd w:val="clear" w:color="auto" w:fill="E5DFEC"/>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DFU 7</w:t>
            </w:r>
            <w:r w:rsidRPr="00D47345">
              <w:rPr>
                <w:rFonts w:cs="Calibri"/>
                <w:sz w:val="20"/>
                <w:szCs w:val="20"/>
                <w:lang w:val="nl-NL"/>
              </w:rPr>
              <w:br/>
              <w:t>LU 14</w:t>
            </w:r>
            <w:r w:rsidRPr="00D47345">
              <w:rPr>
                <w:rFonts w:cs="Calibri"/>
                <w:sz w:val="20"/>
                <w:szCs w:val="20"/>
                <w:lang w:val="nl-NL"/>
              </w:rPr>
              <w:br/>
              <w:t>PU 6</w:t>
            </w:r>
            <w:r w:rsidRPr="00D47345">
              <w:rPr>
                <w:rFonts w:cs="Calibri"/>
                <w:sz w:val="20"/>
                <w:szCs w:val="20"/>
                <w:lang w:val="nl-NL"/>
              </w:rPr>
              <w:br/>
              <w:t>Gemengd 1</w:t>
            </w: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14 (50)</w:t>
            </w: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14 (50)</w:t>
            </w:r>
          </w:p>
        </w:tc>
      </w:tr>
      <w:tr w:rsidR="00BC33FC" w:rsidRPr="00D47345" w:rsidTr="00CE79F9">
        <w:trPr>
          <w:trHeight w:val="575"/>
        </w:trPr>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Totaal aantal einddoelen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313 (100)</w:t>
            </w:r>
          </w:p>
        </w:tc>
        <w:tc>
          <w:tcPr>
            <w:tcW w:w="1915" w:type="dxa"/>
            <w:shd w:val="clear" w:color="auto" w:fill="E5DFEC"/>
          </w:tcPr>
          <w:p w:rsidR="00BC33FC" w:rsidRPr="00D47345" w:rsidRDefault="00BC33FC" w:rsidP="00432222">
            <w:pPr>
              <w:spacing w:after="0" w:line="240" w:lineRule="auto"/>
              <w:rPr>
                <w:rFonts w:cs="Calibri"/>
                <w:sz w:val="20"/>
                <w:szCs w:val="20"/>
                <w:lang w:val="nl-NL"/>
              </w:rPr>
            </w:pP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p>
        </w:tc>
      </w:tr>
      <w:tr w:rsidR="00BC33FC" w:rsidRPr="00D47345" w:rsidTr="00CE79F9">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Totaal aantal artikelen</w:t>
            </w:r>
          </w:p>
        </w:tc>
        <w:tc>
          <w:tcPr>
            <w:tcW w:w="1915" w:type="dxa"/>
            <w:shd w:val="clear" w:color="auto" w:fill="CCC0D9"/>
          </w:tcPr>
          <w:p w:rsidR="00BC33FC" w:rsidRPr="00D47345" w:rsidRDefault="00BC33FC" w:rsidP="00432222">
            <w:pPr>
              <w:spacing w:after="0" w:line="240" w:lineRule="auto"/>
              <w:rPr>
                <w:rFonts w:cs="Calibri"/>
                <w:sz w:val="20"/>
                <w:szCs w:val="20"/>
                <w:lang w:val="nl-NL"/>
              </w:rPr>
            </w:pPr>
            <w:r w:rsidRPr="00D47345">
              <w:rPr>
                <w:rFonts w:cs="Calibri"/>
                <w:sz w:val="20"/>
                <w:szCs w:val="20"/>
                <w:lang w:val="nl-NL"/>
              </w:rPr>
              <w:t>176</w:t>
            </w:r>
          </w:p>
        </w:tc>
        <w:tc>
          <w:tcPr>
            <w:tcW w:w="1915" w:type="dxa"/>
            <w:shd w:val="clear" w:color="auto" w:fill="E5DFEC"/>
          </w:tcPr>
          <w:p w:rsidR="00BC33FC" w:rsidRPr="00D47345" w:rsidRDefault="00BC33FC" w:rsidP="00432222">
            <w:pPr>
              <w:spacing w:after="0" w:line="240" w:lineRule="auto"/>
              <w:rPr>
                <w:rFonts w:cs="Calibri"/>
                <w:sz w:val="20"/>
                <w:szCs w:val="20"/>
                <w:lang w:val="nl-NL"/>
              </w:rPr>
            </w:pPr>
          </w:p>
        </w:tc>
        <w:tc>
          <w:tcPr>
            <w:tcW w:w="1915" w:type="dxa"/>
            <w:shd w:val="clear" w:color="auto" w:fill="CCC0D9"/>
            <w:vAlign w:val="center"/>
          </w:tcPr>
          <w:p w:rsidR="00BC33FC" w:rsidRPr="00D47345" w:rsidRDefault="00BC33FC" w:rsidP="00432222">
            <w:pPr>
              <w:spacing w:after="0" w:line="240" w:lineRule="auto"/>
              <w:rPr>
                <w:rFonts w:cs="Calibri"/>
                <w:sz w:val="20"/>
                <w:szCs w:val="20"/>
                <w:lang w:val="nl-NL"/>
              </w:rPr>
            </w:pPr>
          </w:p>
        </w:tc>
        <w:tc>
          <w:tcPr>
            <w:tcW w:w="1916" w:type="dxa"/>
            <w:shd w:val="clear" w:color="auto" w:fill="E5DFEC"/>
            <w:vAlign w:val="center"/>
          </w:tcPr>
          <w:p w:rsidR="00BC33FC" w:rsidRPr="00D47345" w:rsidRDefault="00BC33FC" w:rsidP="00432222">
            <w:pPr>
              <w:spacing w:after="0" w:line="240" w:lineRule="auto"/>
              <w:rPr>
                <w:rFonts w:cs="Calibri"/>
                <w:sz w:val="20"/>
                <w:szCs w:val="20"/>
                <w:lang w:val="nl-NL"/>
              </w:rPr>
            </w:pPr>
          </w:p>
        </w:tc>
      </w:tr>
    </w:tbl>
    <w:p w:rsidR="003D0893" w:rsidRDefault="003D0893" w:rsidP="003D0893">
      <w:pPr>
        <w:rPr>
          <w:lang w:val="nl-NL"/>
        </w:rPr>
      </w:pPr>
    </w:p>
    <w:p w:rsidR="003D0893" w:rsidRDefault="003D0893" w:rsidP="00FE0CD4">
      <w:pPr>
        <w:pStyle w:val="Kop1"/>
        <w:rPr>
          <w:b w:val="0"/>
          <w:sz w:val="20"/>
          <w:szCs w:val="20"/>
          <w:lang w:val="nl-NL"/>
        </w:rPr>
      </w:pPr>
    </w:p>
    <w:tbl>
      <w:tblPr>
        <w:tblW w:w="0" w:type="auto"/>
        <w:tblInd w:w="38" w:type="dxa"/>
        <w:tblBorders>
          <w:insideH w:val="single" w:sz="4" w:space="0" w:color="000000"/>
          <w:insideV w:val="single" w:sz="4" w:space="0" w:color="000000"/>
        </w:tblBorders>
        <w:shd w:val="clear" w:color="auto" w:fill="CCC0D9"/>
        <w:tblLook w:val="04A0" w:firstRow="1" w:lastRow="0" w:firstColumn="1" w:lastColumn="0" w:noHBand="0" w:noVBand="1"/>
      </w:tblPr>
      <w:tblGrid>
        <w:gridCol w:w="9538"/>
      </w:tblGrid>
      <w:tr w:rsidR="00BC33FC" w:rsidRPr="00B73906" w:rsidTr="00CE79F9">
        <w:tc>
          <w:tcPr>
            <w:tcW w:w="9500" w:type="dxa"/>
            <w:tcBorders>
              <w:top w:val="nil"/>
              <w:bottom w:val="nil"/>
            </w:tcBorders>
            <w:shd w:val="clear" w:color="auto" w:fill="CCC0D9"/>
          </w:tcPr>
          <w:p w:rsidR="00BC33FC" w:rsidRPr="00D47345" w:rsidRDefault="00BC33FC" w:rsidP="00BC33FC">
            <w:pPr>
              <w:rPr>
                <w:rFonts w:cs="Calibri"/>
                <w:sz w:val="24"/>
                <w:szCs w:val="24"/>
                <w:lang w:val="nl-NL"/>
              </w:rPr>
            </w:pPr>
            <w:r w:rsidRPr="00D47345">
              <w:rPr>
                <w:rFonts w:cs="Calibri"/>
                <w:b/>
                <w:sz w:val="24"/>
                <w:szCs w:val="24"/>
                <w:lang w:val="nl-NL"/>
              </w:rPr>
              <w:t>Tabel 4. Nuttige documenten die helpen bij het verzamelen van bewijs</w:t>
            </w:r>
          </w:p>
        </w:tc>
      </w:tr>
      <w:tr w:rsidR="00BC33FC" w:rsidRPr="00D47345" w:rsidTr="00CE79F9">
        <w:tc>
          <w:tcPr>
            <w:tcW w:w="9500" w:type="dxa"/>
            <w:tcBorders>
              <w:top w:val="nil"/>
            </w:tcBorders>
            <w:shd w:val="clear" w:color="auto" w:fill="CCC0D9"/>
          </w:tcPr>
          <w:p w:rsidR="00BC33FC" w:rsidRPr="00D47345" w:rsidRDefault="00BC33FC" w:rsidP="00BC33FC">
            <w:pPr>
              <w:rPr>
                <w:rFonts w:cs="Calibri"/>
                <w:sz w:val="20"/>
                <w:szCs w:val="20"/>
                <w:lang w:val="nl-NL"/>
              </w:rPr>
            </w:pPr>
            <w:r w:rsidRPr="00D47345">
              <w:rPr>
                <w:rFonts w:cs="Calibri"/>
                <w:sz w:val="20"/>
                <w:szCs w:val="20"/>
                <w:lang w:val="nl-NL"/>
              </w:rPr>
              <w:t xml:space="preserve">AQUA </w:t>
            </w:r>
            <w:proofErr w:type="spellStart"/>
            <w:r w:rsidRPr="00D47345">
              <w:rPr>
                <w:rFonts w:cs="Calibri"/>
                <w:sz w:val="20"/>
                <w:szCs w:val="20"/>
                <w:lang w:val="nl-NL"/>
              </w:rPr>
              <w:t>Institute</w:t>
            </w:r>
            <w:proofErr w:type="spellEnd"/>
            <w:r w:rsidRPr="00D47345">
              <w:rPr>
                <w:rFonts w:cs="Calibri"/>
                <w:sz w:val="20"/>
                <w:szCs w:val="20"/>
                <w:lang w:val="nl-NL"/>
              </w:rPr>
              <w:t xml:space="preserve">, </w:t>
            </w:r>
            <w:hyperlink r:id="rId9" w:history="1">
              <w:r w:rsidRPr="00D47345">
                <w:rPr>
                  <w:rStyle w:val="Hyperlink"/>
                  <w:rFonts w:cs="Calibri"/>
                  <w:sz w:val="20"/>
                  <w:szCs w:val="20"/>
                  <w:lang w:val="nl-NL"/>
                </w:rPr>
                <w:t>www.aqua-institut.de</w:t>
              </w:r>
            </w:hyperlink>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 xml:space="preserve">DIN ISO EN 14155-I: ‘Clinical investigation of medical devices for human subjects – Part I: General requirements’. Part II: Clinical investigation plans’ (edited by </w:t>
            </w:r>
            <w:proofErr w:type="spellStart"/>
            <w:r w:rsidRPr="00D47345">
              <w:rPr>
                <w:rFonts w:cs="Calibri"/>
                <w:sz w:val="20"/>
                <w:szCs w:val="20"/>
                <w:lang w:val="en-GB"/>
              </w:rPr>
              <w:t>Beuth</w:t>
            </w:r>
            <w:proofErr w:type="spellEnd"/>
            <w:r w:rsidRPr="00D47345">
              <w:rPr>
                <w:rFonts w:cs="Calibri"/>
                <w:sz w:val="20"/>
                <w:szCs w:val="20"/>
                <w:lang w:val="en-GB"/>
              </w:rPr>
              <w:t xml:space="preserve"> </w:t>
            </w:r>
            <w:proofErr w:type="spellStart"/>
            <w:r w:rsidRPr="00D47345">
              <w:rPr>
                <w:rFonts w:cs="Calibri"/>
                <w:sz w:val="20"/>
                <w:szCs w:val="20"/>
                <w:lang w:val="en-GB"/>
              </w:rPr>
              <w:t>Verlag</w:t>
            </w:r>
            <w:proofErr w:type="spellEnd"/>
            <w:r w:rsidRPr="00D47345">
              <w:rPr>
                <w:rFonts w:cs="Calibri"/>
                <w:sz w:val="20"/>
                <w:szCs w:val="20"/>
                <w:lang w:val="en-GB"/>
              </w:rPr>
              <w:t>, http://www.beuth.de)</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FDA: Guidance for Industry: Chronic Cutaneous Ulcer and Burn Wounds – Developing Products for Treatment Food and Drug Administration, June 2006 www.fda.gov/downloads/Drugs/GuidanceComplianceRegulatoryInformation/Guidances/ucm071324.pdf</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 xml:space="preserve">FDA Wound Healing Clinical Focus Group. Guidance for Industry: chronic cutaneous ulcer and burn wounds – developing products for treatment. Wound Rep </w:t>
            </w:r>
            <w:proofErr w:type="spellStart"/>
            <w:r w:rsidRPr="00D47345">
              <w:rPr>
                <w:rFonts w:cs="Calibri"/>
                <w:sz w:val="20"/>
                <w:szCs w:val="20"/>
                <w:lang w:val="en-GB"/>
              </w:rPr>
              <w:t>Reg</w:t>
            </w:r>
            <w:proofErr w:type="spellEnd"/>
            <w:r w:rsidRPr="00D47345">
              <w:rPr>
                <w:rFonts w:cs="Calibri"/>
                <w:sz w:val="20"/>
                <w:szCs w:val="20"/>
                <w:lang w:val="en-GB"/>
              </w:rPr>
              <w:t xml:space="preserve"> 2001; 9: 258-268</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ICH (International Conference of Harmonisation) e.g. Topic E 6: Guideline for Good Clinical Practice in the European Community. (www.ich.org)</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IQWIG / D: General methods http://www.iqwig.de/general-methods.428.en.html</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IQWIG / D: Cost-benefit assessment</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ISPOR guidance www.ispor.org/PEguidelines/index.asp</w:t>
            </w:r>
          </w:p>
        </w:tc>
      </w:tr>
      <w:tr w:rsidR="00BC33FC" w:rsidRPr="00D47345" w:rsidTr="00CE79F9">
        <w:tc>
          <w:tcPr>
            <w:tcW w:w="9500" w:type="dxa"/>
            <w:shd w:val="clear" w:color="auto" w:fill="CCC0D9"/>
          </w:tcPr>
          <w:p w:rsidR="00BC33FC" w:rsidRPr="00D47345" w:rsidRDefault="00BC33FC" w:rsidP="00BC33FC">
            <w:pPr>
              <w:rPr>
                <w:rFonts w:cs="Calibri"/>
                <w:sz w:val="20"/>
                <w:szCs w:val="20"/>
                <w:lang w:val="en-GB"/>
              </w:rPr>
            </w:pPr>
            <w:r w:rsidRPr="00D47345">
              <w:rPr>
                <w:rFonts w:cs="Calibri"/>
                <w:sz w:val="20"/>
                <w:szCs w:val="20"/>
                <w:lang w:val="en-GB"/>
              </w:rPr>
              <w:t xml:space="preserve">MEDDEV 2, 12-2 May 2004: Medical Devices: Guidance Document – Guidelines on post market clinical follow-up, </w:t>
            </w:r>
            <w:hyperlink r:id="rId10" w:history="1">
              <w:r w:rsidRPr="00D47345">
                <w:rPr>
                  <w:rStyle w:val="Hyperlink"/>
                  <w:rFonts w:cs="Calibri"/>
                  <w:color w:val="auto"/>
                  <w:sz w:val="20"/>
                  <w:szCs w:val="20"/>
                  <w:u w:val="none"/>
                  <w:lang w:val="en-GB"/>
                </w:rPr>
                <w:t>http://ec.europa.eu/enterprise/sectors/medical-devices/files/meddev/2_12-2_05-2004_en.pdf</w:t>
              </w:r>
            </w:hyperlink>
          </w:p>
          <w:p w:rsidR="00BC33FC" w:rsidRPr="00D47345" w:rsidRDefault="00BC33FC" w:rsidP="00BC33FC">
            <w:pPr>
              <w:rPr>
                <w:rFonts w:cs="Calibri"/>
                <w:sz w:val="20"/>
                <w:szCs w:val="20"/>
                <w:lang w:val="en-GB"/>
              </w:rPr>
            </w:pPr>
            <w:r w:rsidRPr="00D47345">
              <w:rPr>
                <w:rFonts w:cs="Calibri"/>
                <w:sz w:val="20"/>
                <w:szCs w:val="20"/>
                <w:lang w:val="en-GB"/>
              </w:rPr>
              <w:t xml:space="preserve">MEDDEV 2.7.1. Dec 2009: Guideline on medical devices – clinical evaluation: Guide for manufactures and notified bodies, </w:t>
            </w:r>
            <w:hyperlink r:id="rId11" w:history="1">
              <w:r w:rsidR="005A3FAF" w:rsidRPr="00D47345">
                <w:rPr>
                  <w:rStyle w:val="Hyperlink"/>
                  <w:rFonts w:cs="Calibri"/>
                  <w:color w:val="auto"/>
                  <w:sz w:val="20"/>
                  <w:szCs w:val="20"/>
                  <w:u w:val="none"/>
                  <w:lang w:val="en-GB"/>
                </w:rPr>
                <w:t>http://ec.europa.eu/enterprise/sectors/medical-devices/files/meddev/2_7_I</w:t>
              </w:r>
            </w:hyperlink>
            <w:r w:rsidR="005A3FAF" w:rsidRPr="00D47345">
              <w:rPr>
                <w:rFonts w:cs="Calibri"/>
                <w:sz w:val="20"/>
                <w:szCs w:val="20"/>
                <w:lang w:val="en-GB"/>
              </w:rPr>
              <w:t xml:space="preserve"> rev_3_en.pdf</w:t>
            </w:r>
          </w:p>
        </w:tc>
      </w:tr>
      <w:tr w:rsidR="00BC33FC" w:rsidRPr="00D47345" w:rsidTr="00CE79F9">
        <w:tc>
          <w:tcPr>
            <w:tcW w:w="9500" w:type="dxa"/>
            <w:shd w:val="clear" w:color="auto" w:fill="CCC0D9"/>
          </w:tcPr>
          <w:p w:rsidR="00BC33FC" w:rsidRPr="00D47345" w:rsidRDefault="005A3FAF" w:rsidP="00BC33FC">
            <w:pPr>
              <w:rPr>
                <w:rFonts w:cs="Calibri"/>
                <w:sz w:val="20"/>
                <w:szCs w:val="20"/>
                <w:lang w:val="en-GB"/>
              </w:rPr>
            </w:pPr>
            <w:r w:rsidRPr="00D47345">
              <w:rPr>
                <w:rFonts w:cs="Calibri"/>
                <w:sz w:val="20"/>
                <w:szCs w:val="20"/>
                <w:lang w:val="en-GB"/>
              </w:rPr>
              <w:t xml:space="preserve">Nice/UK: Guideline manual 2009 </w:t>
            </w:r>
            <w:hyperlink r:id="rId12" w:history="1">
              <w:r w:rsidRPr="00D47345">
                <w:rPr>
                  <w:rStyle w:val="Hyperlink"/>
                  <w:rFonts w:cs="Calibri"/>
                  <w:color w:val="auto"/>
                  <w:sz w:val="20"/>
                  <w:szCs w:val="20"/>
                  <w:u w:val="none"/>
                  <w:lang w:val="en-GB"/>
                </w:rPr>
                <w:t>www.nice.org.uk/aboutnice/howwework/developingniceclinicalguidelines/clinicalguidelinedevelopmentmethods/GuidelinesManual2009.jsp</w:t>
              </w:r>
            </w:hyperlink>
            <w:r w:rsidRPr="00D47345">
              <w:rPr>
                <w:rFonts w:cs="Calibri"/>
                <w:sz w:val="20"/>
                <w:szCs w:val="20"/>
                <w:lang w:val="en-GB"/>
              </w:rPr>
              <w:br/>
              <w:t>www.iqwig.de/cost-benefit-assessment.736.en.html</w:t>
            </w:r>
          </w:p>
        </w:tc>
      </w:tr>
      <w:tr w:rsidR="005A3FAF" w:rsidRPr="00D47345" w:rsidTr="00CE79F9">
        <w:tc>
          <w:tcPr>
            <w:tcW w:w="9500" w:type="dxa"/>
            <w:shd w:val="clear" w:color="auto" w:fill="CCC0D9"/>
          </w:tcPr>
          <w:p w:rsidR="005A3FAF" w:rsidRPr="00D47345" w:rsidRDefault="005A3FAF" w:rsidP="00BC33FC">
            <w:pPr>
              <w:rPr>
                <w:rFonts w:cs="Calibri"/>
                <w:sz w:val="20"/>
                <w:szCs w:val="20"/>
                <w:lang w:val="en-GB"/>
              </w:rPr>
            </w:pPr>
            <w:r w:rsidRPr="00D47345">
              <w:rPr>
                <w:rFonts w:cs="Calibri"/>
                <w:sz w:val="20"/>
                <w:szCs w:val="20"/>
                <w:lang w:val="en-GB"/>
              </w:rPr>
              <w:lastRenderedPageBreak/>
              <w:t>SIGN 50: A guideline developer’s handbook (SIGN: Scottish Intercollegiate Guidelines Network) January 2008, especially the Annex B ‘Key of evidence and grades of recommendations’ and Annex C ‘Methodology Checklist’ www.sign.ac.uk/guidelines/fulltext/50/index.html</w:t>
            </w:r>
          </w:p>
        </w:tc>
      </w:tr>
      <w:tr w:rsidR="005A3FAF" w:rsidRPr="00D47345" w:rsidTr="00CE79F9">
        <w:tc>
          <w:tcPr>
            <w:tcW w:w="9500" w:type="dxa"/>
            <w:shd w:val="clear" w:color="auto" w:fill="CCC0D9"/>
          </w:tcPr>
          <w:p w:rsidR="005A3FAF" w:rsidRPr="00D47345" w:rsidRDefault="005A3FAF" w:rsidP="00BC33FC">
            <w:pPr>
              <w:rPr>
                <w:rFonts w:cs="Calibri"/>
                <w:sz w:val="20"/>
                <w:szCs w:val="20"/>
                <w:lang w:val="en-GB"/>
              </w:rPr>
            </w:pPr>
            <w:r w:rsidRPr="00D47345">
              <w:rPr>
                <w:rFonts w:cs="Calibri"/>
                <w:sz w:val="20"/>
                <w:szCs w:val="20"/>
                <w:lang w:val="en-GB"/>
              </w:rPr>
              <w:t xml:space="preserve">The Consort Statement: Revised recommendations for improving the quality of reports of parallel-group randomised trials, </w:t>
            </w:r>
            <w:hyperlink r:id="rId13" w:history="1">
              <w:r w:rsidRPr="00D47345">
                <w:rPr>
                  <w:rStyle w:val="Hyperlink"/>
                  <w:rFonts w:cs="Calibri"/>
                  <w:color w:val="auto"/>
                  <w:sz w:val="20"/>
                  <w:szCs w:val="20"/>
                  <w:u w:val="none"/>
                  <w:lang w:val="en-GB"/>
                </w:rPr>
                <w:t>www.consort-statement.org/Mohr,D.Schultz</w:t>
              </w:r>
            </w:hyperlink>
            <w:r w:rsidRPr="00D47345">
              <w:rPr>
                <w:rFonts w:cs="Calibri"/>
                <w:sz w:val="20"/>
                <w:szCs w:val="20"/>
                <w:lang w:val="en-GB"/>
              </w:rPr>
              <w:t>, K.F., Altman, D.G. (for the Consort Group). Lancet 2001; 357: 1991-1194</w:t>
            </w:r>
          </w:p>
        </w:tc>
      </w:tr>
      <w:tr w:rsidR="005A3FAF" w:rsidRPr="00D47345" w:rsidTr="00CE79F9">
        <w:tc>
          <w:tcPr>
            <w:tcW w:w="9500" w:type="dxa"/>
            <w:shd w:val="clear" w:color="auto" w:fill="CCC0D9"/>
          </w:tcPr>
          <w:p w:rsidR="005A3FAF" w:rsidRPr="00D47345" w:rsidRDefault="005A3FAF" w:rsidP="00BC33FC">
            <w:pPr>
              <w:rPr>
                <w:rFonts w:cs="Calibri"/>
                <w:sz w:val="20"/>
                <w:szCs w:val="20"/>
                <w:lang w:val="en-GB"/>
              </w:rPr>
            </w:pPr>
            <w:r w:rsidRPr="00D47345">
              <w:rPr>
                <w:rFonts w:cs="Calibri"/>
                <w:sz w:val="20"/>
                <w:szCs w:val="20"/>
                <w:lang w:val="en-GB"/>
              </w:rPr>
              <w:t>The Cochrane Collaboration, www.cochrane.org</w:t>
            </w:r>
          </w:p>
        </w:tc>
      </w:tr>
    </w:tbl>
    <w:p w:rsidR="00BC33FC" w:rsidRPr="00BC33FC" w:rsidRDefault="00BC33FC" w:rsidP="00BC33FC">
      <w:pPr>
        <w:rPr>
          <w:lang w:val="en-GB"/>
        </w:rPr>
      </w:pPr>
    </w:p>
    <w:tbl>
      <w:tblPr>
        <w:tblW w:w="0" w:type="auto"/>
        <w:tblInd w:w="38" w:type="dxa"/>
        <w:tblBorders>
          <w:insideH w:val="single" w:sz="4" w:space="0" w:color="000000"/>
          <w:insideV w:val="single" w:sz="4" w:space="0" w:color="000000"/>
        </w:tblBorders>
        <w:shd w:val="clear" w:color="auto" w:fill="CCC0D9" w:themeFill="accent4" w:themeFillTint="66"/>
        <w:tblLook w:val="04A0" w:firstRow="1" w:lastRow="0" w:firstColumn="1" w:lastColumn="0" w:noHBand="0" w:noVBand="1"/>
      </w:tblPr>
      <w:tblGrid>
        <w:gridCol w:w="9500"/>
      </w:tblGrid>
      <w:tr w:rsidR="005A3FAF" w:rsidRPr="00B73906" w:rsidTr="00FB74C0">
        <w:tc>
          <w:tcPr>
            <w:tcW w:w="9500" w:type="dxa"/>
            <w:tcBorders>
              <w:bottom w:val="nil"/>
            </w:tcBorders>
            <w:shd w:val="clear" w:color="auto" w:fill="CCC0D9" w:themeFill="accent4" w:themeFillTint="66"/>
          </w:tcPr>
          <w:p w:rsidR="005A3FAF" w:rsidRPr="00D47345" w:rsidRDefault="005A3FAF" w:rsidP="00D47345">
            <w:pPr>
              <w:pStyle w:val="Kop1"/>
              <w:spacing w:before="0"/>
              <w:rPr>
                <w:rFonts w:ascii="Calibri" w:hAnsi="Calibri" w:cs="Calibri"/>
                <w:sz w:val="24"/>
                <w:szCs w:val="24"/>
                <w:u w:val="single"/>
                <w:lang w:val="nl-NL"/>
              </w:rPr>
            </w:pPr>
            <w:r w:rsidRPr="00D47345">
              <w:rPr>
                <w:rFonts w:ascii="Calibri" w:hAnsi="Calibri" w:cs="Calibri"/>
                <w:sz w:val="24"/>
                <w:szCs w:val="24"/>
                <w:lang w:val="nl-NL"/>
              </w:rPr>
              <w:t xml:space="preserve">Tabel 5 – Verschillende soorten klinische studies (Nice/UK: </w:t>
            </w:r>
            <w:proofErr w:type="spellStart"/>
            <w:r w:rsidRPr="00D47345">
              <w:rPr>
                <w:rFonts w:ascii="Calibri" w:hAnsi="Calibri" w:cs="Calibri"/>
                <w:sz w:val="24"/>
                <w:szCs w:val="24"/>
                <w:lang w:val="nl-NL"/>
              </w:rPr>
              <w:t>Guideline</w:t>
            </w:r>
            <w:proofErr w:type="spellEnd"/>
            <w:r w:rsidRPr="00D47345">
              <w:rPr>
                <w:rFonts w:ascii="Calibri" w:hAnsi="Calibri" w:cs="Calibri"/>
                <w:sz w:val="24"/>
                <w:szCs w:val="24"/>
                <w:lang w:val="nl-NL"/>
              </w:rPr>
              <w:t xml:space="preserve"> Manual 2009, </w:t>
            </w:r>
            <w:proofErr w:type="spellStart"/>
            <w:r w:rsidRPr="00D47345">
              <w:rPr>
                <w:rFonts w:ascii="Calibri" w:hAnsi="Calibri" w:cs="Calibri"/>
                <w:sz w:val="24"/>
                <w:szCs w:val="24"/>
                <w:lang w:val="nl-NL"/>
              </w:rPr>
              <w:t>Apendix</w:t>
            </w:r>
            <w:proofErr w:type="spellEnd"/>
            <w:r w:rsidRPr="00D47345">
              <w:rPr>
                <w:rFonts w:ascii="Calibri" w:hAnsi="Calibri" w:cs="Calibri"/>
                <w:sz w:val="24"/>
                <w:szCs w:val="24"/>
                <w:lang w:val="nl-NL"/>
              </w:rPr>
              <w:t xml:space="preserve"> M, </w:t>
            </w:r>
            <w:proofErr w:type="spellStart"/>
            <w:r w:rsidRPr="00D47345">
              <w:rPr>
                <w:rFonts w:ascii="Calibri" w:hAnsi="Calibri" w:cs="Calibri"/>
                <w:sz w:val="24"/>
                <w:szCs w:val="24"/>
                <w:lang w:val="nl-NL"/>
              </w:rPr>
              <w:t>abbreviations</w:t>
            </w:r>
            <w:proofErr w:type="spellEnd"/>
            <w:r w:rsidRPr="00D47345">
              <w:rPr>
                <w:rFonts w:ascii="Calibri" w:hAnsi="Calibri" w:cs="Calibri"/>
                <w:sz w:val="24"/>
                <w:szCs w:val="24"/>
                <w:lang w:val="nl-NL"/>
              </w:rPr>
              <w:t xml:space="preserve"> </w:t>
            </w:r>
            <w:proofErr w:type="spellStart"/>
            <w:r w:rsidRPr="00D47345">
              <w:rPr>
                <w:rFonts w:ascii="Calibri" w:hAnsi="Calibri" w:cs="Calibri"/>
                <w:sz w:val="24"/>
                <w:szCs w:val="24"/>
                <w:lang w:val="nl-NL"/>
              </w:rPr>
              <w:t>and</w:t>
            </w:r>
            <w:proofErr w:type="spellEnd"/>
            <w:r w:rsidRPr="00D47345">
              <w:rPr>
                <w:rFonts w:ascii="Calibri" w:hAnsi="Calibri" w:cs="Calibri"/>
                <w:sz w:val="24"/>
                <w:szCs w:val="24"/>
                <w:lang w:val="nl-NL"/>
              </w:rPr>
              <w:t xml:space="preserve"> </w:t>
            </w:r>
            <w:proofErr w:type="spellStart"/>
            <w:r w:rsidRPr="00D47345">
              <w:rPr>
                <w:rFonts w:ascii="Calibri" w:hAnsi="Calibri" w:cs="Calibri"/>
                <w:sz w:val="24"/>
                <w:szCs w:val="24"/>
                <w:lang w:val="nl-NL"/>
              </w:rPr>
              <w:t>glossary</w:t>
            </w:r>
            <w:proofErr w:type="spellEnd"/>
            <w:r w:rsidRPr="00D47345">
              <w:rPr>
                <w:rFonts w:ascii="Calibri" w:hAnsi="Calibri" w:cs="Calibri"/>
                <w:sz w:val="24"/>
                <w:szCs w:val="24"/>
                <w:lang w:val="nl-NL"/>
              </w:rPr>
              <w:t>)</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pStyle w:val="Plattetekst"/>
              <w:spacing w:before="120" w:after="0"/>
              <w:rPr>
                <w:rFonts w:cs="Calibri"/>
                <w:b/>
                <w:sz w:val="20"/>
                <w:szCs w:val="20"/>
                <w:lang w:val="nl-NL"/>
              </w:rPr>
            </w:pPr>
            <w:r w:rsidRPr="00D47345">
              <w:rPr>
                <w:rFonts w:cs="Calibri"/>
                <w:b/>
                <w:sz w:val="20"/>
                <w:szCs w:val="20"/>
                <w:lang w:val="nl-NL"/>
              </w:rPr>
              <w:t>Meta-analyses</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Een statistische techniek voor het combineren van de resultaten (‘</w:t>
            </w:r>
            <w:r w:rsidRPr="00D47345">
              <w:rPr>
                <w:rFonts w:cs="Calibri"/>
                <w:i/>
                <w:sz w:val="20"/>
                <w:szCs w:val="20"/>
                <w:lang w:val="nl-NL"/>
              </w:rPr>
              <w:t>pooling’</w:t>
            </w:r>
            <w:r w:rsidRPr="00D47345">
              <w:rPr>
                <w:rFonts w:cs="Calibri"/>
                <w:sz w:val="20"/>
                <w:szCs w:val="20"/>
                <w:lang w:val="nl-NL"/>
              </w:rPr>
              <w:t>) van een aantal studies die dezelfde vraag behandelen en dezelfde uitkomstmaten hanteren om zo tot een samenvattend resultaat te komen. Het doel is om precieze en duidelijke informatie te verkrijgen uit een grote dataverzameling.  Hieruit kan over het algemeen geloofwaardiger een hypothese bevestigd of verworpen worden dan kijkend naar de studies afzonderlijk.</w:t>
            </w:r>
          </w:p>
        </w:tc>
      </w:tr>
      <w:tr w:rsidR="005A3FAF" w:rsidRPr="00D47345" w:rsidTr="00FB74C0">
        <w:tc>
          <w:tcPr>
            <w:tcW w:w="9500" w:type="dxa"/>
            <w:tcBorders>
              <w:top w:val="nil"/>
              <w:bottom w:val="single" w:sz="4" w:space="0" w:color="auto"/>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r w:rsidRPr="00D47345">
              <w:rPr>
                <w:rFonts w:cs="Calibri"/>
                <w:b/>
                <w:sz w:val="20"/>
                <w:szCs w:val="20"/>
                <w:lang w:val="nl-NL"/>
              </w:rPr>
              <w:t>Gerandomiseerde controle studie (RCT)</w:t>
            </w:r>
          </w:p>
        </w:tc>
      </w:tr>
      <w:tr w:rsidR="005A3FAF" w:rsidRPr="00B73906" w:rsidTr="00FB74C0">
        <w:tc>
          <w:tcPr>
            <w:tcW w:w="9500" w:type="dxa"/>
            <w:tcBorders>
              <w:top w:val="single" w:sz="4" w:space="0" w:color="auto"/>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Een vergelijkende studie waarin de deelnemers gerandomiseerd worden geplaatst in de interventie- of controle groepen en dan gevolgd worden om zo de verschillen in uitkomstmaten tussen deze groepen te onderzoeken.</w:t>
            </w:r>
          </w:p>
        </w:tc>
      </w:tr>
      <w:tr w:rsidR="005A3FAF" w:rsidRPr="00D47345" w:rsidTr="00FB74C0">
        <w:tc>
          <w:tcPr>
            <w:tcW w:w="9500" w:type="dxa"/>
            <w:tcBorders>
              <w:top w:val="nil"/>
              <w:bottom w:val="single" w:sz="4" w:space="0" w:color="auto"/>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r w:rsidRPr="00D47345">
              <w:rPr>
                <w:rFonts w:cs="Calibri"/>
                <w:b/>
                <w:sz w:val="20"/>
                <w:szCs w:val="20"/>
                <w:lang w:val="nl-NL"/>
              </w:rPr>
              <w:t>Cohort studie</w:t>
            </w:r>
          </w:p>
        </w:tc>
      </w:tr>
      <w:tr w:rsidR="005A3FAF" w:rsidRPr="00B73906" w:rsidTr="00FB74C0">
        <w:tc>
          <w:tcPr>
            <w:tcW w:w="9500" w:type="dxa"/>
            <w:tcBorders>
              <w:top w:val="single" w:sz="4" w:space="0" w:color="auto"/>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proofErr w:type="spellStart"/>
            <w:r w:rsidRPr="00D47345">
              <w:rPr>
                <w:rFonts w:cs="Calibri"/>
                <w:sz w:val="20"/>
                <w:szCs w:val="20"/>
                <w:lang w:val="en-GB"/>
              </w:rPr>
              <w:t>Een</w:t>
            </w:r>
            <w:proofErr w:type="spellEnd"/>
            <w:r w:rsidRPr="00D47345">
              <w:rPr>
                <w:rFonts w:cs="Calibri"/>
                <w:sz w:val="20"/>
                <w:szCs w:val="20"/>
                <w:lang w:val="en-GB"/>
              </w:rPr>
              <w:t xml:space="preserve"> </w:t>
            </w:r>
            <w:proofErr w:type="spellStart"/>
            <w:r w:rsidRPr="00D47345">
              <w:rPr>
                <w:rFonts w:cs="Calibri"/>
                <w:sz w:val="20"/>
                <w:szCs w:val="20"/>
                <w:lang w:val="en-GB"/>
              </w:rPr>
              <w:t>retrospectieve</w:t>
            </w:r>
            <w:proofErr w:type="spellEnd"/>
            <w:r w:rsidRPr="00D47345">
              <w:rPr>
                <w:rFonts w:cs="Calibri"/>
                <w:sz w:val="20"/>
                <w:szCs w:val="20"/>
                <w:lang w:val="en-GB"/>
              </w:rPr>
              <w:t xml:space="preserve"> of </w:t>
            </w:r>
            <w:proofErr w:type="spellStart"/>
            <w:r w:rsidRPr="00D47345">
              <w:rPr>
                <w:rFonts w:cs="Calibri"/>
                <w:sz w:val="20"/>
                <w:szCs w:val="20"/>
                <w:lang w:val="en-GB"/>
              </w:rPr>
              <w:t>prospectieve</w:t>
            </w:r>
            <w:proofErr w:type="spellEnd"/>
            <w:r w:rsidRPr="00D47345">
              <w:rPr>
                <w:rFonts w:cs="Calibri"/>
                <w:sz w:val="20"/>
                <w:szCs w:val="20"/>
                <w:lang w:val="en-GB"/>
              </w:rPr>
              <w:t xml:space="preserve"> follow-up </w:t>
            </w:r>
            <w:proofErr w:type="spellStart"/>
            <w:r w:rsidRPr="00D47345">
              <w:rPr>
                <w:rFonts w:cs="Calibri"/>
                <w:sz w:val="20"/>
                <w:szCs w:val="20"/>
                <w:lang w:val="en-GB"/>
              </w:rPr>
              <w:t>studie</w:t>
            </w:r>
            <w:proofErr w:type="spellEnd"/>
            <w:r w:rsidRPr="00D47345">
              <w:rPr>
                <w:rFonts w:cs="Calibri"/>
                <w:sz w:val="20"/>
                <w:szCs w:val="20"/>
                <w:lang w:val="en-GB"/>
              </w:rPr>
              <w:t xml:space="preserve">. </w:t>
            </w:r>
            <w:r w:rsidRPr="00D47345">
              <w:rPr>
                <w:rFonts w:cs="Calibri"/>
                <w:sz w:val="20"/>
                <w:szCs w:val="20"/>
                <w:lang w:val="nl-NL"/>
              </w:rPr>
              <w:t>De proefpersonen die gevolgd worden, zijn onderverdeeld op basis van of ze wel of niet zijn bloot gesteld aan een bepaalde risicofactor of interventie. Een cohort studie kan vergelijkend zijn, in dat geval worden 2 groepen of meer geselecteerd op basis van hun verschillen in blootstelling aan de desbetreffende interventie.</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r w:rsidRPr="00D47345">
              <w:rPr>
                <w:rFonts w:cs="Calibri"/>
                <w:b/>
                <w:sz w:val="20"/>
                <w:szCs w:val="20"/>
                <w:lang w:val="nl-NL"/>
              </w:rPr>
              <w:t>Prospectieve cohort studie</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pStyle w:val="Plattetekst"/>
              <w:rPr>
                <w:rFonts w:cs="Calibri"/>
                <w:sz w:val="20"/>
                <w:szCs w:val="20"/>
                <w:lang w:val="nl-NL"/>
              </w:rPr>
            </w:pPr>
            <w:r w:rsidRPr="00D47345">
              <w:rPr>
                <w:rFonts w:cs="Calibri"/>
                <w:sz w:val="20"/>
                <w:szCs w:val="20"/>
                <w:lang w:val="nl-NL"/>
              </w:rPr>
              <w:t>Een observatie studie die uit gaat van een groep (cohort) patiënten en hun vooruitgang volgt door de tijd en daarbij de gewenste uitkomstmaat meet zoals ziekte of mortaliteitscijfers, om zo vergelijkingen te kunnen maken tussen de verschillende behandelingen of interventies die patiënten hebben ondergaan. Prospectieve groepen worden verworven in het heden en vervolgd in de toekomst.</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pStyle w:val="Plattetekst"/>
              <w:spacing w:before="120" w:after="0"/>
              <w:rPr>
                <w:rFonts w:cs="Calibri"/>
                <w:b/>
                <w:sz w:val="20"/>
                <w:szCs w:val="20"/>
                <w:lang w:val="nl-NL"/>
              </w:rPr>
            </w:pPr>
            <w:r w:rsidRPr="00D47345">
              <w:rPr>
                <w:rFonts w:cs="Calibri"/>
                <w:b/>
                <w:sz w:val="20"/>
                <w:szCs w:val="20"/>
                <w:lang w:val="nl-NL"/>
              </w:rPr>
              <w:t>‘Cross-</w:t>
            </w:r>
            <w:proofErr w:type="spellStart"/>
            <w:r w:rsidRPr="00D47345">
              <w:rPr>
                <w:rFonts w:cs="Calibri"/>
                <w:b/>
                <w:sz w:val="20"/>
                <w:szCs w:val="20"/>
                <w:lang w:val="nl-NL"/>
              </w:rPr>
              <w:t>sectional</w:t>
            </w:r>
            <w:proofErr w:type="spellEnd"/>
            <w:r w:rsidRPr="00D47345">
              <w:rPr>
                <w:rFonts w:cs="Calibri"/>
                <w:b/>
                <w:sz w:val="20"/>
                <w:szCs w:val="20"/>
                <w:lang w:val="nl-NL"/>
              </w:rPr>
              <w:t>’ studie</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Een observatie van een gedefinieerde groep personen op één enkel tijdstip of tijdsperiode. Dit in tegenstelling tot een longitudinale studie, die een groep personen volgt door de tijd.</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r w:rsidRPr="00D47345">
              <w:rPr>
                <w:rFonts w:cs="Calibri"/>
                <w:b/>
                <w:sz w:val="20"/>
                <w:szCs w:val="20"/>
                <w:lang w:val="nl-NL"/>
              </w:rPr>
              <w:lastRenderedPageBreak/>
              <w:t>Observationele studie</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tabs>
                <w:tab w:val="left" w:pos="8265"/>
              </w:tabs>
              <w:rPr>
                <w:rFonts w:cs="Calibri"/>
                <w:sz w:val="20"/>
                <w:szCs w:val="20"/>
                <w:u w:val="single"/>
                <w:lang w:val="nl-NL"/>
              </w:rPr>
            </w:pPr>
            <w:r w:rsidRPr="00D47345">
              <w:rPr>
                <w:rFonts w:cs="Calibri"/>
                <w:sz w:val="20"/>
                <w:szCs w:val="20"/>
                <w:lang w:val="nl-NL"/>
              </w:rPr>
              <w:t>Retrospectieve of prospectieve studie waarin de onderzoeker de natuurlijke gang van waar neemt en met of zonder controle groep (bijvoorbeeld cohort studies en case-control studies)</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r w:rsidRPr="00D47345">
              <w:rPr>
                <w:rFonts w:cs="Calibri"/>
                <w:b/>
                <w:sz w:val="20"/>
                <w:szCs w:val="20"/>
                <w:lang w:val="nl-NL"/>
              </w:rPr>
              <w:t>Case control studies</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Een vergelijkende observationele studie waarin de onderzoeker personen selecteert die een bepaalde gebeurtenis hebben meegemaakt (bijvoorbeeld een ziekte ontwikkeld) en personen die niet hebben meegemaakt (controles) en dan data verzamelt om zo een eerdere blootstelling aan een mogelijke oorzaak vast te stellen.</w:t>
            </w:r>
          </w:p>
        </w:tc>
      </w:tr>
      <w:tr w:rsidR="005A3FAF" w:rsidRPr="00D47345" w:rsidTr="00FB74C0">
        <w:tc>
          <w:tcPr>
            <w:tcW w:w="9500" w:type="dxa"/>
            <w:tcBorders>
              <w:top w:val="nil"/>
              <w:bottom w:val="single" w:sz="4" w:space="0" w:color="000000"/>
            </w:tcBorders>
            <w:shd w:val="clear" w:color="auto" w:fill="CCC0D9" w:themeFill="accent4" w:themeFillTint="66"/>
          </w:tcPr>
          <w:p w:rsidR="005A3FAF" w:rsidRPr="00D47345" w:rsidRDefault="005A3FAF" w:rsidP="00CE79F9">
            <w:pPr>
              <w:tabs>
                <w:tab w:val="left" w:pos="8265"/>
              </w:tabs>
              <w:spacing w:before="120" w:after="0"/>
              <w:rPr>
                <w:rFonts w:cs="Calibri"/>
                <w:b/>
                <w:sz w:val="20"/>
                <w:szCs w:val="20"/>
                <w:lang w:val="nl-NL"/>
              </w:rPr>
            </w:pPr>
            <w:proofErr w:type="spellStart"/>
            <w:r w:rsidRPr="00D47345">
              <w:rPr>
                <w:rFonts w:cs="Calibri"/>
                <w:b/>
                <w:sz w:val="20"/>
                <w:szCs w:val="20"/>
                <w:lang w:val="nl-NL"/>
              </w:rPr>
              <w:t>Casuistiek</w:t>
            </w:r>
            <w:proofErr w:type="spellEnd"/>
            <w:r w:rsidRPr="00D47345">
              <w:rPr>
                <w:rFonts w:cs="Calibri"/>
                <w:b/>
                <w:sz w:val="20"/>
                <w:szCs w:val="20"/>
                <w:lang w:val="nl-NL"/>
              </w:rPr>
              <w:t xml:space="preserve"> series</w:t>
            </w:r>
          </w:p>
        </w:tc>
      </w:tr>
      <w:tr w:rsidR="005A3FAF" w:rsidRPr="00B73906" w:rsidTr="00FB74C0">
        <w:tc>
          <w:tcPr>
            <w:tcW w:w="9500" w:type="dxa"/>
            <w:tcBorders>
              <w:top w:val="single" w:sz="4" w:space="0" w:color="000000"/>
              <w:bottom w:val="nil"/>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Een verslag van een aantal gevallen van een bepaalde ziekte, meestal over het de beloop van de ziekte en de respons op een behandeling. Er wordt hierbij geen vergelijking gemaakt met een patiënten controlegroep.</w:t>
            </w:r>
          </w:p>
        </w:tc>
      </w:tr>
      <w:tr w:rsidR="005A3FAF" w:rsidRPr="00D47345" w:rsidTr="00FB74C0">
        <w:tc>
          <w:tcPr>
            <w:tcW w:w="9500" w:type="dxa"/>
            <w:tcBorders>
              <w:top w:val="nil"/>
              <w:bottom w:val="single" w:sz="4" w:space="0" w:color="000000"/>
            </w:tcBorders>
            <w:shd w:val="clear" w:color="auto" w:fill="CCC0D9" w:themeFill="accent4" w:themeFillTint="66"/>
          </w:tcPr>
          <w:p w:rsidR="00523515" w:rsidRPr="00D47345" w:rsidRDefault="005A3FAF" w:rsidP="00523515">
            <w:pPr>
              <w:tabs>
                <w:tab w:val="left" w:pos="8002"/>
              </w:tabs>
              <w:spacing w:before="120" w:after="0"/>
              <w:rPr>
                <w:rFonts w:cs="Calibri"/>
                <w:b/>
                <w:sz w:val="20"/>
                <w:szCs w:val="20"/>
                <w:lang w:val="nl-NL"/>
              </w:rPr>
            </w:pPr>
            <w:proofErr w:type="spellStart"/>
            <w:r w:rsidRPr="00D47345">
              <w:rPr>
                <w:rFonts w:cs="Calibri"/>
                <w:b/>
                <w:sz w:val="20"/>
                <w:szCs w:val="20"/>
                <w:lang w:val="nl-NL"/>
              </w:rPr>
              <w:t>Casuistiekverslag</w:t>
            </w:r>
            <w:proofErr w:type="spellEnd"/>
            <w:r w:rsidR="00523515" w:rsidRPr="00D47345">
              <w:rPr>
                <w:rFonts w:cs="Calibri"/>
                <w:b/>
                <w:sz w:val="20"/>
                <w:szCs w:val="20"/>
                <w:lang w:val="nl-NL"/>
              </w:rPr>
              <w:t>(‘case report’)</w:t>
            </w:r>
          </w:p>
        </w:tc>
      </w:tr>
      <w:tr w:rsidR="005A3FAF" w:rsidRPr="00B73906" w:rsidTr="00FB74C0">
        <w:tc>
          <w:tcPr>
            <w:tcW w:w="9500" w:type="dxa"/>
            <w:tcBorders>
              <w:top w:val="single" w:sz="4" w:space="0" w:color="000000"/>
            </w:tcBorders>
            <w:shd w:val="clear" w:color="auto" w:fill="CCC0D9" w:themeFill="accent4" w:themeFillTint="66"/>
          </w:tcPr>
          <w:p w:rsidR="005A3FAF" w:rsidRPr="00D47345" w:rsidRDefault="005A3FAF" w:rsidP="00CE79F9">
            <w:pPr>
              <w:tabs>
                <w:tab w:val="left" w:pos="8265"/>
              </w:tabs>
              <w:rPr>
                <w:rFonts w:cs="Calibri"/>
                <w:sz w:val="20"/>
                <w:szCs w:val="20"/>
                <w:lang w:val="nl-NL"/>
              </w:rPr>
            </w:pPr>
            <w:r w:rsidRPr="00D47345">
              <w:rPr>
                <w:rFonts w:cs="Calibri"/>
                <w:sz w:val="20"/>
                <w:szCs w:val="20"/>
                <w:lang w:val="nl-NL"/>
              </w:rPr>
              <w:t xml:space="preserve">Verslag van één of twee casussen van een bepaalde ziekte, over </w:t>
            </w:r>
            <w:proofErr w:type="spellStart"/>
            <w:r w:rsidRPr="00D47345">
              <w:rPr>
                <w:rFonts w:cs="Calibri"/>
                <w:sz w:val="20"/>
                <w:szCs w:val="20"/>
                <w:lang w:val="nl-NL"/>
              </w:rPr>
              <w:t>hetde</w:t>
            </w:r>
            <w:proofErr w:type="spellEnd"/>
            <w:r w:rsidRPr="00D47345">
              <w:rPr>
                <w:rFonts w:cs="Calibri"/>
                <w:sz w:val="20"/>
                <w:szCs w:val="20"/>
                <w:lang w:val="nl-NL"/>
              </w:rPr>
              <w:t xml:space="preserve"> beloop van de ziekte en de respons op een behandeling. Er wordt hierbij geen vergelijking gemaakt met een patiënten controlegroep.</w:t>
            </w:r>
          </w:p>
        </w:tc>
      </w:tr>
    </w:tbl>
    <w:p w:rsidR="003D0893" w:rsidRPr="002B51F4" w:rsidRDefault="003D0893" w:rsidP="00FE0CD4">
      <w:pPr>
        <w:pStyle w:val="Plattetekst"/>
        <w:rPr>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tblBorders>
        <w:shd w:val="clear" w:color="auto" w:fill="CCC0D9" w:themeFill="accent4" w:themeFillTint="66"/>
        <w:tblLayout w:type="fixed"/>
        <w:tblLook w:val="00A0" w:firstRow="1" w:lastRow="0" w:firstColumn="1" w:lastColumn="0" w:noHBand="0" w:noVBand="0"/>
      </w:tblPr>
      <w:tblGrid>
        <w:gridCol w:w="2376"/>
        <w:gridCol w:w="2800"/>
        <w:gridCol w:w="4400"/>
      </w:tblGrid>
      <w:tr w:rsidR="003D0893" w:rsidRPr="00B73906" w:rsidTr="00FB74C0">
        <w:tc>
          <w:tcPr>
            <w:tcW w:w="9576" w:type="dxa"/>
            <w:gridSpan w:val="3"/>
            <w:tcBorders>
              <w:top w:val="nil"/>
              <w:left w:val="nil"/>
              <w:bottom w:val="nil"/>
              <w:right w:val="nil"/>
            </w:tcBorders>
            <w:shd w:val="clear" w:color="auto" w:fill="CCC0D9" w:themeFill="accent4" w:themeFillTint="66"/>
          </w:tcPr>
          <w:p w:rsidR="003D0893" w:rsidRPr="00D47345" w:rsidRDefault="00FB74C0" w:rsidP="00432222">
            <w:pPr>
              <w:tabs>
                <w:tab w:val="left" w:pos="8265"/>
              </w:tabs>
              <w:spacing w:after="0" w:line="240" w:lineRule="auto"/>
              <w:rPr>
                <w:rFonts w:cs="Calibri"/>
                <w:b/>
                <w:sz w:val="24"/>
                <w:szCs w:val="24"/>
                <w:lang w:val="nl-NL"/>
              </w:rPr>
            </w:pPr>
            <w:r w:rsidRPr="00D47345">
              <w:rPr>
                <w:rFonts w:cs="Calibri"/>
                <w:b/>
                <w:sz w:val="24"/>
                <w:szCs w:val="24"/>
                <w:lang w:val="nl-NL"/>
              </w:rPr>
              <w:t>Tabel  6. Gebruik van kwaliteitsmarkers in wondmanagement studie</w:t>
            </w:r>
          </w:p>
          <w:p w:rsidR="00FB74C0" w:rsidRPr="00D47345" w:rsidRDefault="00FB74C0" w:rsidP="00432222">
            <w:pPr>
              <w:tabs>
                <w:tab w:val="left" w:pos="8265"/>
              </w:tabs>
              <w:spacing w:after="0" w:line="240" w:lineRule="auto"/>
              <w:rPr>
                <w:rFonts w:cs="Calibri"/>
                <w:b/>
                <w:sz w:val="20"/>
                <w:szCs w:val="20"/>
                <w:lang w:val="nl-NL"/>
              </w:rPr>
            </w:pPr>
          </w:p>
        </w:tc>
      </w:tr>
      <w:tr w:rsidR="00FB74C0" w:rsidRPr="00D47345" w:rsidTr="00FB74C0">
        <w:tc>
          <w:tcPr>
            <w:tcW w:w="9576" w:type="dxa"/>
            <w:gridSpan w:val="3"/>
            <w:tcBorders>
              <w:top w:val="nil"/>
              <w:left w:val="nil"/>
              <w:right w:val="nil"/>
            </w:tcBorders>
            <w:shd w:val="clear" w:color="auto" w:fill="CCC0D9" w:themeFill="accent4" w:themeFillTint="66"/>
          </w:tcPr>
          <w:p w:rsidR="00FB74C0" w:rsidRPr="00D47345" w:rsidRDefault="00FB74C0" w:rsidP="00432222">
            <w:pPr>
              <w:tabs>
                <w:tab w:val="left" w:pos="8265"/>
              </w:tabs>
              <w:spacing w:after="0" w:line="240" w:lineRule="auto"/>
              <w:rPr>
                <w:rFonts w:cs="Calibri"/>
                <w:b/>
                <w:sz w:val="20"/>
                <w:szCs w:val="20"/>
                <w:lang w:val="nl-NL"/>
              </w:rPr>
            </w:pPr>
            <w:r w:rsidRPr="00D47345">
              <w:rPr>
                <w:rFonts w:cs="Calibri"/>
                <w:b/>
                <w:sz w:val="20"/>
                <w:szCs w:val="20"/>
                <w:lang w:val="nl-NL"/>
              </w:rPr>
              <w:t>Methodologische checklist</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p>
        </w:tc>
        <w:tc>
          <w:tcPr>
            <w:tcW w:w="7200" w:type="dxa"/>
            <w:gridSpan w:val="2"/>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Verkleinen van </w:t>
            </w:r>
            <w:r w:rsidR="002B51F4" w:rsidRPr="00D47345">
              <w:rPr>
                <w:rFonts w:cs="Calibri"/>
                <w:sz w:val="20"/>
                <w:szCs w:val="20"/>
                <w:lang w:val="nl-NL"/>
              </w:rPr>
              <w:t>potentiële</w:t>
            </w:r>
            <w:r w:rsidRPr="00D47345">
              <w:rPr>
                <w:rFonts w:cs="Calibri"/>
                <w:sz w:val="20"/>
                <w:szCs w:val="20"/>
                <w:lang w:val="nl-NL"/>
              </w:rPr>
              <w:t xml:space="preserve"> bias in interventie studies (vergrote</w:t>
            </w:r>
            <w:r w:rsidR="002B51F4" w:rsidRPr="00D47345">
              <w:rPr>
                <w:rFonts w:cs="Calibri"/>
                <w:sz w:val="20"/>
                <w:szCs w:val="20"/>
                <w:lang w:val="nl-NL"/>
              </w:rPr>
              <w:t>n</w:t>
            </w:r>
            <w:r w:rsidRPr="00D47345">
              <w:rPr>
                <w:rFonts w:cs="Calibri"/>
                <w:sz w:val="20"/>
                <w:szCs w:val="20"/>
                <w:lang w:val="nl-NL"/>
              </w:rPr>
              <w:t xml:space="preserve"> van de interne validiteit om zo onzekerheid in de </w:t>
            </w:r>
            <w:r w:rsidR="002B51F4" w:rsidRPr="00D47345">
              <w:rPr>
                <w:rFonts w:cs="Calibri"/>
                <w:sz w:val="20"/>
                <w:szCs w:val="20"/>
                <w:lang w:val="nl-NL"/>
              </w:rPr>
              <w:t>schattingen</w:t>
            </w:r>
            <w:r w:rsidRPr="00D47345">
              <w:rPr>
                <w:rFonts w:cs="Calibri"/>
                <w:sz w:val="20"/>
                <w:szCs w:val="20"/>
                <w:lang w:val="nl-NL"/>
              </w:rPr>
              <w:t xml:space="preserve"> van verwachte kosten en uitkomstmaten te reduceren)</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b/>
                <w:sz w:val="20"/>
                <w:szCs w:val="20"/>
                <w:lang w:val="nl-NL"/>
              </w:rPr>
            </w:pPr>
            <w:r w:rsidRPr="00D47345">
              <w:rPr>
                <w:rFonts w:cs="Calibri"/>
                <w:b/>
                <w:sz w:val="20"/>
                <w:szCs w:val="20"/>
                <w:lang w:val="nl-NL"/>
              </w:rPr>
              <w:t>Gerapporteerde onderzoeken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b/>
                <w:sz w:val="20"/>
                <w:szCs w:val="20"/>
                <w:lang w:val="nl-NL"/>
              </w:rPr>
            </w:pPr>
            <w:r w:rsidRPr="00D47345">
              <w:rPr>
                <w:rFonts w:cs="Calibri"/>
                <w:b/>
                <w:sz w:val="20"/>
                <w:szCs w:val="20"/>
                <w:lang w:val="nl-NL"/>
              </w:rPr>
              <w:t>Aanbevolen actie</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b/>
                <w:sz w:val="20"/>
                <w:szCs w:val="20"/>
                <w:lang w:val="nl-NL"/>
              </w:rPr>
            </w:pPr>
            <w:r w:rsidRPr="00D47345">
              <w:rPr>
                <w:rFonts w:cs="Calibri"/>
                <w:b/>
                <w:sz w:val="20"/>
                <w:szCs w:val="20"/>
                <w:lang w:val="nl-NL"/>
              </w:rPr>
              <w:t>Hoe is dit te gebruiken in wondzorg studies?</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deelnemers</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Toelatingscriteria voor deelnemers en de setting en locaties waar de data wordt verzameld.</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Dit moet mogelijk zijn in alle studies. Het belangrijkste is om geschikte </w:t>
            </w:r>
            <w:r w:rsidR="005A2680" w:rsidRPr="00D47345">
              <w:rPr>
                <w:rFonts w:cs="Calibri"/>
                <w:sz w:val="20"/>
                <w:szCs w:val="20"/>
                <w:lang w:val="nl-NL"/>
              </w:rPr>
              <w:t>patiënten</w:t>
            </w:r>
            <w:r w:rsidRPr="00D47345">
              <w:rPr>
                <w:rFonts w:cs="Calibri"/>
                <w:sz w:val="20"/>
                <w:szCs w:val="20"/>
                <w:lang w:val="nl-NL"/>
              </w:rPr>
              <w:t xml:space="preserve"> met wonden te selecteren in de geschikte conditie voor de onderzoeksvraag in kwestie, met in het achterhoofd dat wonden kunnen verslechteren </w:t>
            </w:r>
            <w:r w:rsidR="005A2680" w:rsidRPr="00D47345">
              <w:rPr>
                <w:rFonts w:cs="Calibri"/>
                <w:sz w:val="20"/>
                <w:szCs w:val="20"/>
                <w:lang w:val="nl-NL"/>
              </w:rPr>
              <w:t xml:space="preserve">door </w:t>
            </w:r>
            <w:r w:rsidRPr="00D47345">
              <w:rPr>
                <w:rFonts w:cs="Calibri"/>
                <w:sz w:val="20"/>
                <w:szCs w:val="20"/>
                <w:lang w:val="nl-NL"/>
              </w:rPr>
              <w:t>de tijd door de  onderliggende ziekte.</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interventies</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Precieze details van de voorgenomen interventies van elke groep en hoe en wanneer ze daadwerkelijk worden toegediend.</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Er zijn geen specifieke aandachtspunten voor de wondzorg, alleen is er een breed scala aan interventies die onderzocht kunnen worden (bijv. apparaten, </w:t>
            </w:r>
            <w:r w:rsidR="005A2680" w:rsidRPr="00D47345">
              <w:rPr>
                <w:rFonts w:cs="Calibri"/>
                <w:sz w:val="20"/>
                <w:szCs w:val="20"/>
                <w:lang w:val="nl-NL"/>
              </w:rPr>
              <w:t>technologieën</w:t>
            </w:r>
            <w:r w:rsidRPr="00D47345">
              <w:rPr>
                <w:rFonts w:cs="Calibri"/>
                <w:sz w:val="20"/>
                <w:szCs w:val="20"/>
                <w:lang w:val="nl-NL"/>
              </w:rPr>
              <w:t>, medicijnen), afzonderlijk of gecombineerd. Interventies kunnen veranderen gedurende het</w:t>
            </w:r>
            <w:r w:rsidR="005A2680" w:rsidRPr="00D47345">
              <w:rPr>
                <w:rFonts w:cs="Calibri"/>
                <w:sz w:val="20"/>
                <w:szCs w:val="20"/>
                <w:lang w:val="nl-NL"/>
              </w:rPr>
              <w:t xml:space="preserve"> </w:t>
            </w:r>
            <w:proofErr w:type="spellStart"/>
            <w:r w:rsidR="005A2680" w:rsidRPr="00D47345">
              <w:rPr>
                <w:rFonts w:cs="Calibri"/>
                <w:sz w:val="20"/>
                <w:szCs w:val="20"/>
                <w:lang w:val="nl-NL"/>
              </w:rPr>
              <w:t>genezings</w:t>
            </w:r>
            <w:proofErr w:type="spellEnd"/>
            <w:r w:rsidRPr="00D47345">
              <w:rPr>
                <w:rFonts w:cs="Calibri"/>
                <w:sz w:val="20"/>
                <w:szCs w:val="20"/>
                <w:lang w:val="nl-NL"/>
              </w:rPr>
              <w:t xml:space="preserve"> proces, dus de conditie van de wond OF de fase van wondgenezing moet gedocumenteerd worden. </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doelstellingen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Specifieke doelstellingen en hypothesen</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Er zouden geen problemen moeten zijn in de verslaglegging van de doelstellingen. Echter, in de opzetfase van het onderzoek moeten de doelstellingen </w:t>
            </w:r>
            <w:r w:rsidR="005A2680" w:rsidRPr="00D47345">
              <w:rPr>
                <w:rFonts w:cs="Calibri"/>
                <w:sz w:val="20"/>
                <w:szCs w:val="20"/>
                <w:lang w:val="nl-NL"/>
              </w:rPr>
              <w:t>passen bij</w:t>
            </w:r>
            <w:r w:rsidR="00F73657" w:rsidRPr="00D47345">
              <w:rPr>
                <w:rFonts w:cs="Calibri"/>
                <w:sz w:val="20"/>
                <w:szCs w:val="20"/>
                <w:lang w:val="nl-NL"/>
              </w:rPr>
              <w:t xml:space="preserve"> </w:t>
            </w:r>
            <w:r w:rsidRPr="00D47345">
              <w:rPr>
                <w:rFonts w:cs="Calibri"/>
                <w:sz w:val="20"/>
                <w:szCs w:val="20"/>
                <w:lang w:val="nl-NL"/>
              </w:rPr>
              <w:t>de onderzoeksvraag en het doel van de interventie (bijv debridement van dood weefsel)</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uitkomstmaten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Duidelijk gedefinieerde primaire en secundaire </w:t>
            </w:r>
            <w:r w:rsidRPr="00D47345">
              <w:rPr>
                <w:rFonts w:cs="Calibri"/>
                <w:sz w:val="20"/>
                <w:szCs w:val="20"/>
                <w:lang w:val="nl-NL"/>
              </w:rPr>
              <w:lastRenderedPageBreak/>
              <w:t>uitkomstmaten en, wanneer van toepassing, alle methodes gebruikt om de kwaliteit van de metingen te vergroten (bijv. meerdere observaties, trainen van beoordelaars)</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lastRenderedPageBreak/>
              <w:t xml:space="preserve">Deze moeten duidelijk gedefinieerd zijn en beschreven, en gerelateerd aan de interventie </w:t>
            </w:r>
            <w:r w:rsidRPr="00D47345">
              <w:rPr>
                <w:rFonts w:cs="Calibri"/>
                <w:sz w:val="20"/>
                <w:szCs w:val="20"/>
                <w:lang w:val="nl-NL"/>
              </w:rPr>
              <w:lastRenderedPageBreak/>
              <w:t xml:space="preserve">(bijv. resolutie van een infectie). </w:t>
            </w:r>
            <w:r w:rsidR="00F73657" w:rsidRPr="00D47345">
              <w:rPr>
                <w:rFonts w:cs="Calibri"/>
                <w:sz w:val="20"/>
                <w:szCs w:val="20"/>
                <w:lang w:val="nl-NL"/>
              </w:rPr>
              <w:t>Het</w:t>
            </w:r>
            <w:r w:rsidRPr="00D47345">
              <w:rPr>
                <w:rFonts w:cs="Calibri"/>
                <w:sz w:val="20"/>
                <w:szCs w:val="20"/>
                <w:lang w:val="nl-NL"/>
              </w:rPr>
              <w:t xml:space="preserve"> grootste </w:t>
            </w:r>
            <w:r w:rsidR="00F73657" w:rsidRPr="00D47345">
              <w:rPr>
                <w:rFonts w:cs="Calibri"/>
                <w:sz w:val="20"/>
                <w:szCs w:val="20"/>
                <w:lang w:val="nl-NL"/>
              </w:rPr>
              <w:t>strijdpunt</w:t>
            </w:r>
            <w:r w:rsidRPr="00D47345">
              <w:rPr>
                <w:rFonts w:cs="Calibri"/>
                <w:sz w:val="20"/>
                <w:szCs w:val="20"/>
                <w:lang w:val="nl-NL"/>
              </w:rPr>
              <w:t xml:space="preserve"> is gerelateerd aan het feit dat uitkomstmaten vaak slecht gedefinieerd zijn, hetgeen leidt tot matige reproduceerbaarheid. Een intacte huid is op dit moment de meest gebruikte uitkomstmaat, ook </w:t>
            </w:r>
            <w:r w:rsidR="00F73657" w:rsidRPr="00D47345">
              <w:rPr>
                <w:rFonts w:cs="Calibri"/>
                <w:sz w:val="20"/>
                <w:szCs w:val="20"/>
                <w:lang w:val="nl-NL"/>
              </w:rPr>
              <w:t>waar</w:t>
            </w:r>
            <w:r w:rsidRPr="00D47345">
              <w:rPr>
                <w:rFonts w:cs="Calibri"/>
                <w:sz w:val="20"/>
                <w:szCs w:val="20"/>
                <w:lang w:val="nl-NL"/>
              </w:rPr>
              <w:t xml:space="preserve"> het niet direct gerelateerd</w:t>
            </w:r>
            <w:r w:rsidR="00F73657" w:rsidRPr="00D47345">
              <w:rPr>
                <w:rFonts w:cs="Calibri"/>
                <w:sz w:val="20"/>
                <w:szCs w:val="20"/>
                <w:lang w:val="nl-NL"/>
              </w:rPr>
              <w:t xml:space="preserve"> is</w:t>
            </w:r>
            <w:r w:rsidRPr="00D47345">
              <w:rPr>
                <w:rFonts w:cs="Calibri"/>
                <w:sz w:val="20"/>
                <w:szCs w:val="20"/>
                <w:lang w:val="nl-NL"/>
              </w:rPr>
              <w:t xml:space="preserve"> aan de te onderzoeken interventie. Het trainen van beoordelaars is vooral belangrijk gezien de noodzaak van multicenter onderzoeken om zo een grote onderzoekspopulatie te krijgen.</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lastRenderedPageBreak/>
              <w:t>Methode</w:t>
            </w:r>
            <w:r w:rsidR="002B51F4" w:rsidRPr="00D47345">
              <w:rPr>
                <w:rFonts w:cs="Calibri"/>
                <w:sz w:val="20"/>
                <w:szCs w:val="20"/>
                <w:lang w:val="nl-NL"/>
              </w:rPr>
              <w:t>:</w:t>
            </w:r>
            <w:r w:rsidRPr="00D47345">
              <w:rPr>
                <w:rFonts w:cs="Calibri"/>
                <w:i/>
                <w:color w:val="FF0000"/>
                <w:sz w:val="20"/>
                <w:szCs w:val="20"/>
                <w:lang w:val="nl-NL"/>
              </w:rPr>
              <w:br/>
            </w:r>
            <w:r w:rsidRPr="00D47345">
              <w:rPr>
                <w:rFonts w:cs="Calibri"/>
                <w:sz w:val="20"/>
                <w:szCs w:val="20"/>
                <w:lang w:val="nl-NL"/>
              </w:rPr>
              <w:t>steekproefgrootte</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Hoe de steekproefgrootte </w:t>
            </w:r>
            <w:r w:rsidR="00F73657" w:rsidRPr="00D47345">
              <w:rPr>
                <w:rFonts w:cs="Calibri"/>
                <w:sz w:val="20"/>
                <w:szCs w:val="20"/>
                <w:lang w:val="nl-NL"/>
              </w:rPr>
              <w:t xml:space="preserve">is bepaald </w:t>
            </w:r>
            <w:r w:rsidRPr="00D47345">
              <w:rPr>
                <w:rFonts w:cs="Calibri"/>
                <w:sz w:val="20"/>
                <w:szCs w:val="20"/>
                <w:lang w:val="nl-NL"/>
              </w:rPr>
              <w:t xml:space="preserve">en, </w:t>
            </w:r>
            <w:r w:rsidR="00F73657" w:rsidRPr="00D47345">
              <w:rPr>
                <w:rFonts w:cs="Calibri"/>
                <w:sz w:val="20"/>
                <w:szCs w:val="20"/>
                <w:lang w:val="nl-NL"/>
              </w:rPr>
              <w:t xml:space="preserve">indien </w:t>
            </w:r>
            <w:r w:rsidRPr="00D47345">
              <w:rPr>
                <w:rFonts w:cs="Calibri"/>
                <w:sz w:val="20"/>
                <w:szCs w:val="20"/>
                <w:lang w:val="nl-NL"/>
              </w:rPr>
              <w:t>van toepassin</w:t>
            </w:r>
            <w:r w:rsidR="00F73657" w:rsidRPr="00D47345">
              <w:rPr>
                <w:rFonts w:cs="Calibri"/>
                <w:sz w:val="20"/>
                <w:szCs w:val="20"/>
                <w:lang w:val="nl-NL"/>
              </w:rPr>
              <w:t>g,</w:t>
            </w:r>
            <w:r w:rsidRPr="00D47345">
              <w:rPr>
                <w:rFonts w:cs="Calibri"/>
                <w:sz w:val="20"/>
                <w:szCs w:val="20"/>
                <w:lang w:val="nl-NL"/>
              </w:rPr>
              <w:t xml:space="preserve"> uitleg over alle</w:t>
            </w:r>
            <w:r w:rsidRPr="00D47345">
              <w:rPr>
                <w:rFonts w:cs="Calibri"/>
                <w:i/>
                <w:color w:val="FF0000"/>
                <w:sz w:val="20"/>
                <w:szCs w:val="20"/>
                <w:lang w:val="nl-NL"/>
              </w:rPr>
              <w:t xml:space="preserve"> </w:t>
            </w:r>
            <w:r w:rsidR="009605DA" w:rsidRPr="00D47345">
              <w:rPr>
                <w:rFonts w:cs="Calibri"/>
                <w:sz w:val="20"/>
                <w:szCs w:val="20"/>
                <w:lang w:val="nl-NL"/>
              </w:rPr>
              <w:t xml:space="preserve">voorlopige </w:t>
            </w:r>
            <w:r w:rsidRPr="00D47345">
              <w:rPr>
                <w:rFonts w:cs="Calibri"/>
                <w:sz w:val="20"/>
                <w:szCs w:val="20"/>
                <w:lang w:val="nl-NL"/>
              </w:rPr>
              <w:t>analyses</w:t>
            </w:r>
            <w:r w:rsidRPr="00D47345">
              <w:rPr>
                <w:rFonts w:cs="Calibri"/>
                <w:i/>
                <w:color w:val="FF0000"/>
                <w:sz w:val="20"/>
                <w:szCs w:val="20"/>
                <w:lang w:val="nl-NL"/>
              </w:rPr>
              <w:t xml:space="preserve"> </w:t>
            </w:r>
            <w:r w:rsidR="009605DA" w:rsidRPr="00D47345">
              <w:rPr>
                <w:rFonts w:cs="Calibri"/>
                <w:sz w:val="20"/>
                <w:szCs w:val="20"/>
                <w:lang w:val="nl-NL"/>
              </w:rPr>
              <w:t>afsluitregels</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Dit is belangrijk, maar veel onderzoeksgebieden hebben niet genoeg </w:t>
            </w:r>
            <w:r w:rsidR="009605DA" w:rsidRPr="00D47345">
              <w:rPr>
                <w:rFonts w:cs="Calibri"/>
                <w:sz w:val="20"/>
                <w:szCs w:val="20"/>
                <w:lang w:val="nl-NL"/>
              </w:rPr>
              <w:t>vooraf gaande</w:t>
            </w:r>
            <w:r w:rsidRPr="00D47345">
              <w:rPr>
                <w:rFonts w:cs="Calibri"/>
                <w:sz w:val="20"/>
                <w:szCs w:val="20"/>
                <w:lang w:val="nl-NL"/>
              </w:rPr>
              <w:t xml:space="preserve"> data waarop zulke berekeningen gebaseerd kunnen worden. Daarom is het essentieel, routine data te verzamelen over de standaard zorg voor het starten van een nieuwe studie. </w:t>
            </w:r>
          </w:p>
        </w:tc>
      </w:tr>
      <w:tr w:rsidR="003D0893" w:rsidRPr="00B73906" w:rsidTr="00FB74C0">
        <w:trPr>
          <w:trHeight w:val="4197"/>
        </w:trPr>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Randomisatie</w:t>
            </w:r>
          </w:p>
          <w:p w:rsidR="003D0893" w:rsidRPr="00D47345" w:rsidRDefault="001B6F73" w:rsidP="001B6F73">
            <w:pPr>
              <w:pStyle w:val="Lijstalinea1"/>
              <w:numPr>
                <w:ilvl w:val="0"/>
                <w:numId w:val="8"/>
              </w:numPr>
              <w:tabs>
                <w:tab w:val="left" w:pos="8265"/>
              </w:tabs>
              <w:spacing w:after="0" w:line="240" w:lineRule="auto"/>
              <w:rPr>
                <w:rFonts w:cs="Calibri"/>
                <w:sz w:val="20"/>
                <w:szCs w:val="20"/>
                <w:lang w:val="nl-NL"/>
              </w:rPr>
            </w:pPr>
            <w:r w:rsidRPr="00D47345">
              <w:rPr>
                <w:rFonts w:cs="Calibri"/>
                <w:sz w:val="20"/>
                <w:szCs w:val="20"/>
                <w:lang w:val="nl-NL"/>
              </w:rPr>
              <w:t>Genereren</w:t>
            </w:r>
            <w:r w:rsidR="003D0893" w:rsidRPr="00D47345">
              <w:rPr>
                <w:rFonts w:cs="Calibri"/>
                <w:sz w:val="20"/>
                <w:szCs w:val="20"/>
                <w:lang w:val="nl-NL"/>
              </w:rPr>
              <w:t xml:space="preserve"> van een reeks</w:t>
            </w:r>
          </w:p>
          <w:p w:rsidR="003D0893" w:rsidRPr="00D47345" w:rsidRDefault="001B6F73" w:rsidP="001B6F73">
            <w:pPr>
              <w:pStyle w:val="Lijstalinea1"/>
              <w:tabs>
                <w:tab w:val="left" w:pos="8265"/>
              </w:tabs>
              <w:spacing w:after="0" w:line="240" w:lineRule="auto"/>
              <w:ind w:left="360"/>
              <w:rPr>
                <w:rFonts w:cs="Calibri"/>
                <w:sz w:val="20"/>
                <w:szCs w:val="20"/>
                <w:lang w:val="nl-NL"/>
              </w:rPr>
            </w:pPr>
            <w:r w:rsidRPr="00D47345">
              <w:rPr>
                <w:rFonts w:cs="Calibri"/>
                <w:sz w:val="20"/>
                <w:szCs w:val="20"/>
                <w:lang w:val="nl-NL"/>
              </w:rPr>
              <w:t>2.     verborgen    toewijzing</w:t>
            </w:r>
          </w:p>
          <w:p w:rsidR="003D0893" w:rsidRPr="00D47345" w:rsidRDefault="002B51F4" w:rsidP="001B6F73">
            <w:pPr>
              <w:pStyle w:val="Lijstalinea1"/>
              <w:numPr>
                <w:ilvl w:val="0"/>
                <w:numId w:val="7"/>
              </w:numPr>
              <w:tabs>
                <w:tab w:val="left" w:pos="8265"/>
              </w:tabs>
              <w:spacing w:after="0" w:line="240" w:lineRule="auto"/>
              <w:rPr>
                <w:rFonts w:cs="Calibri"/>
                <w:sz w:val="20"/>
                <w:szCs w:val="20"/>
                <w:lang w:val="nl-NL"/>
              </w:rPr>
            </w:pPr>
            <w:r w:rsidRPr="00D47345">
              <w:rPr>
                <w:rFonts w:cs="Calibri"/>
                <w:sz w:val="20"/>
                <w:szCs w:val="20"/>
                <w:lang w:val="nl-NL"/>
              </w:rPr>
              <w:t>i</w:t>
            </w:r>
            <w:r w:rsidR="003D0893" w:rsidRPr="00D47345">
              <w:rPr>
                <w:rFonts w:cs="Calibri"/>
                <w:sz w:val="20"/>
                <w:szCs w:val="20"/>
                <w:lang w:val="nl-NL"/>
              </w:rPr>
              <w:t>mplementatie</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1. methode gebruikt om </w:t>
            </w:r>
            <w:r w:rsidR="009605DA" w:rsidRPr="00D47345">
              <w:rPr>
                <w:rFonts w:cs="Calibri"/>
                <w:sz w:val="20"/>
                <w:szCs w:val="20"/>
                <w:lang w:val="nl-NL"/>
              </w:rPr>
              <w:t xml:space="preserve">een </w:t>
            </w:r>
            <w:r w:rsidRPr="00D47345">
              <w:rPr>
                <w:rFonts w:cs="Calibri"/>
                <w:sz w:val="20"/>
                <w:szCs w:val="20"/>
                <w:lang w:val="nl-NL"/>
              </w:rPr>
              <w:t>willekeurige reeks toe te wijzen</w:t>
            </w:r>
            <w:r w:rsidR="009605DA" w:rsidRPr="00D47345">
              <w:rPr>
                <w:rFonts w:cs="Calibri"/>
                <w:sz w:val="20"/>
                <w:szCs w:val="20"/>
                <w:lang w:val="nl-NL"/>
              </w:rPr>
              <w:t xml:space="preserve">, inclusief beperkende details </w:t>
            </w:r>
            <w:r w:rsidRPr="00D47345">
              <w:rPr>
                <w:rFonts w:cs="Calibri"/>
                <w:sz w:val="20"/>
                <w:szCs w:val="20"/>
                <w:lang w:val="nl-NL"/>
              </w:rPr>
              <w:t>(bijv blokkeren, stratificatie)</w:t>
            </w:r>
          </w:p>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2.methode gebruikt om de willekeurig </w:t>
            </w:r>
            <w:r w:rsidR="009605DA" w:rsidRPr="00D47345">
              <w:rPr>
                <w:rFonts w:cs="Calibri"/>
                <w:sz w:val="20"/>
                <w:szCs w:val="20"/>
                <w:lang w:val="nl-NL"/>
              </w:rPr>
              <w:t>toegewezen</w:t>
            </w:r>
            <w:r w:rsidRPr="00D47345">
              <w:rPr>
                <w:rFonts w:cs="Calibri"/>
                <w:sz w:val="20"/>
                <w:szCs w:val="20"/>
                <w:lang w:val="nl-NL"/>
              </w:rPr>
              <w:t xml:space="preserve"> reeks te implementeren (bijv. genummerde containers, centrale telefoon), waarbij duidelijk moet worden aangegeven of de reeks geheim was tot de onderzoekers  waren aangewezen.</w:t>
            </w:r>
          </w:p>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3.wie de toe gewezen reeks heeft gemaakt, wie de deelnemers heeft </w:t>
            </w:r>
            <w:r w:rsidR="00701109" w:rsidRPr="00D47345">
              <w:rPr>
                <w:rFonts w:cs="Calibri"/>
                <w:sz w:val="20"/>
                <w:szCs w:val="20"/>
                <w:lang w:val="nl-NL"/>
              </w:rPr>
              <w:t xml:space="preserve">ingeschreven </w:t>
            </w:r>
            <w:r w:rsidRPr="00D47345">
              <w:rPr>
                <w:rFonts w:cs="Calibri"/>
                <w:sz w:val="20"/>
                <w:szCs w:val="20"/>
                <w:lang w:val="nl-NL"/>
              </w:rPr>
              <w:t xml:space="preserve">en wie de deelnemers heeft </w:t>
            </w:r>
            <w:r w:rsidR="00701109" w:rsidRPr="00D47345">
              <w:rPr>
                <w:rFonts w:cs="Calibri"/>
                <w:sz w:val="20"/>
                <w:szCs w:val="20"/>
                <w:lang w:val="nl-NL"/>
              </w:rPr>
              <w:t>toegewezen</w:t>
            </w:r>
            <w:r w:rsidRPr="00D47345">
              <w:rPr>
                <w:rFonts w:cs="Calibri"/>
                <w:sz w:val="20"/>
                <w:szCs w:val="20"/>
                <w:lang w:val="nl-NL"/>
              </w:rPr>
              <w:t xml:space="preserve"> aan hun groep.</w:t>
            </w:r>
          </w:p>
        </w:tc>
        <w:tc>
          <w:tcPr>
            <w:tcW w:w="4400" w:type="dxa"/>
            <w:tcBorders>
              <w:right w:val="nil"/>
            </w:tcBorders>
            <w:shd w:val="clear" w:color="auto" w:fill="CCC0D9" w:themeFill="accent4" w:themeFillTint="66"/>
          </w:tcPr>
          <w:p w:rsidR="003D0893" w:rsidRPr="00D47345" w:rsidRDefault="00701109" w:rsidP="00432222">
            <w:pPr>
              <w:tabs>
                <w:tab w:val="left" w:pos="8265"/>
              </w:tabs>
              <w:spacing w:after="0" w:line="240" w:lineRule="auto"/>
              <w:rPr>
                <w:rFonts w:cs="Calibri"/>
                <w:sz w:val="20"/>
                <w:szCs w:val="20"/>
                <w:lang w:val="nl-NL"/>
              </w:rPr>
            </w:pPr>
            <w:r w:rsidRPr="00D47345">
              <w:rPr>
                <w:rFonts w:cs="Calibri"/>
                <w:sz w:val="20"/>
                <w:szCs w:val="20"/>
                <w:lang w:val="nl-NL"/>
              </w:rPr>
              <w:t>Er zijn</w:t>
            </w:r>
            <w:r w:rsidR="003D0893" w:rsidRPr="00D47345">
              <w:rPr>
                <w:rFonts w:cs="Calibri"/>
                <w:sz w:val="20"/>
                <w:szCs w:val="20"/>
                <w:lang w:val="nl-NL"/>
              </w:rPr>
              <w:t xml:space="preserve"> geen specifieke aandachtspunten voor wondzorg en </w:t>
            </w:r>
            <w:r w:rsidRPr="00D47345">
              <w:rPr>
                <w:rFonts w:cs="Calibri"/>
                <w:sz w:val="20"/>
                <w:szCs w:val="20"/>
                <w:lang w:val="nl-NL"/>
              </w:rPr>
              <w:t>essentiële details moeten worden beschre</w:t>
            </w:r>
            <w:r w:rsidR="003D0893" w:rsidRPr="00D47345">
              <w:rPr>
                <w:rFonts w:cs="Calibri"/>
                <w:sz w:val="20"/>
                <w:szCs w:val="20"/>
                <w:lang w:val="nl-NL"/>
              </w:rPr>
              <w:t>ven. Ook al is er nog steeds veel discuss</w:t>
            </w:r>
            <w:r w:rsidRPr="00D47345">
              <w:rPr>
                <w:rFonts w:cs="Calibri"/>
                <w:sz w:val="20"/>
                <w:szCs w:val="20"/>
                <w:lang w:val="nl-NL"/>
              </w:rPr>
              <w:t>ie over de juiste variabelen die</w:t>
            </w:r>
            <w:r w:rsidR="003D0893" w:rsidRPr="00D47345">
              <w:rPr>
                <w:rFonts w:cs="Calibri"/>
                <w:sz w:val="20"/>
                <w:szCs w:val="20"/>
                <w:lang w:val="nl-NL"/>
              </w:rPr>
              <w:t xml:space="preserve"> gebruikt moet worden bij stratificatie, het meest gebruikt zijn ulcus grootte en duur. Gezien de noodzaak tot het uitvoeren van meer multicenter studies, moet men nadenken over het gebruik van stratificatie per centrum. </w:t>
            </w:r>
          </w:p>
          <w:p w:rsidR="003D0893" w:rsidRPr="00D47345" w:rsidRDefault="003D0893" w:rsidP="00432222">
            <w:pPr>
              <w:tabs>
                <w:tab w:val="left" w:pos="8265"/>
              </w:tabs>
              <w:spacing w:after="0" w:line="240" w:lineRule="auto"/>
              <w:rPr>
                <w:rFonts w:cs="Calibri"/>
                <w:sz w:val="20"/>
                <w:szCs w:val="20"/>
                <w:lang w:val="nl-NL"/>
              </w:rPr>
            </w:pP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blinderen (maskeren)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Onafhankelijk of ze wel of geen studiedeelnemers zijn, diegene die de interventies uitvoert, en diegene die de uitkomstmaten beoordeeld, moeten geblindeerd blijven totdat ze toegewezen zijn aan een groep. Als dat gebeurd is, hoe het succes van het blinderen </w:t>
            </w:r>
            <w:r w:rsidR="00701109" w:rsidRPr="00D47345">
              <w:rPr>
                <w:rFonts w:cs="Calibri"/>
                <w:sz w:val="20"/>
                <w:szCs w:val="20"/>
                <w:lang w:val="nl-NL"/>
              </w:rPr>
              <w:t>geëvalueerd</w:t>
            </w:r>
            <w:r w:rsidRPr="00D47345">
              <w:rPr>
                <w:rFonts w:cs="Calibri"/>
                <w:sz w:val="20"/>
                <w:szCs w:val="20"/>
                <w:lang w:val="nl-NL"/>
              </w:rPr>
              <w:t xml:space="preserve"> is.</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Vele studies in de wondzorg zijn open studies, aangezien de aard van de interventie blinderen gecompliceerd maakt. Dit benadrukt het belang van het gebruik van geblindeerde beoordelingstechnieken zo objectief mogelijk, om zo de kans op reproduceerbare bevindingen te maximaliseren. De minimale eis is een onafhankelijke evaluatie wanneer blinderen of geblindeerde beoordelingen minder valide zijn in de praktijk.</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Methode: statische methoden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Statistische methoden gebruikt voor de vergelijking </w:t>
            </w:r>
            <w:r w:rsidR="00701109" w:rsidRPr="00D47345">
              <w:rPr>
                <w:rFonts w:cs="Calibri"/>
                <w:sz w:val="20"/>
                <w:szCs w:val="20"/>
                <w:lang w:val="nl-NL"/>
              </w:rPr>
              <w:t>tussen</w:t>
            </w:r>
            <w:r w:rsidRPr="00D47345">
              <w:rPr>
                <w:rFonts w:cs="Calibri"/>
                <w:sz w:val="20"/>
                <w:szCs w:val="20"/>
                <w:lang w:val="nl-NL"/>
              </w:rPr>
              <w:t xml:space="preserve"> groepen voor de primaire uitkomstmaat; methoden voor additionele analyse, zoals subgroep analyse of aangepaste analyses</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wondzorg studies.</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lastRenderedPageBreak/>
              <w:t>Resultaten: deelnemers stroming</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De stroom van deelnemers door elke fase (een diagram wordt sterk aanbevolen). Specifiek voor elke groep, beschrijf het aantal </w:t>
            </w:r>
            <w:r w:rsidR="00701109" w:rsidRPr="00D47345">
              <w:rPr>
                <w:rFonts w:cs="Calibri"/>
                <w:sz w:val="20"/>
                <w:szCs w:val="20"/>
                <w:lang w:val="nl-NL"/>
              </w:rPr>
              <w:t>deelnemers, dat</w:t>
            </w:r>
            <w:r w:rsidRPr="00D47345">
              <w:rPr>
                <w:rFonts w:cs="Calibri"/>
                <w:sz w:val="20"/>
                <w:szCs w:val="20"/>
                <w:lang w:val="nl-NL"/>
              </w:rPr>
              <w:t xml:space="preserve"> gerandomiseerd </w:t>
            </w:r>
            <w:r w:rsidR="00701109" w:rsidRPr="00D47345">
              <w:rPr>
                <w:rFonts w:cs="Calibri"/>
                <w:sz w:val="20"/>
                <w:szCs w:val="20"/>
                <w:lang w:val="nl-NL"/>
              </w:rPr>
              <w:t xml:space="preserve">is </w:t>
            </w:r>
            <w:r w:rsidRPr="00D47345">
              <w:rPr>
                <w:rFonts w:cs="Calibri"/>
                <w:sz w:val="20"/>
                <w:szCs w:val="20"/>
                <w:lang w:val="nl-NL"/>
              </w:rPr>
              <w:t xml:space="preserve">toegewezen, die de </w:t>
            </w:r>
            <w:r w:rsidR="00701109" w:rsidRPr="00D47345">
              <w:rPr>
                <w:rFonts w:cs="Calibri"/>
                <w:sz w:val="20"/>
                <w:szCs w:val="20"/>
                <w:lang w:val="nl-NL"/>
              </w:rPr>
              <w:t>initiële</w:t>
            </w:r>
            <w:r w:rsidRPr="00D47345">
              <w:rPr>
                <w:rFonts w:cs="Calibri"/>
                <w:sz w:val="20"/>
                <w:szCs w:val="20"/>
                <w:lang w:val="nl-NL"/>
              </w:rPr>
              <w:t xml:space="preserve"> behandeling hebben gekregen, die de het studieprotocol hebben afgemaakt en die meegenomen zijn in de analyse voor de primaire uitkomstmaat.</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Dit is essentieel voor wond studies vanwege de hoge </w:t>
            </w:r>
            <w:r w:rsidR="00701109" w:rsidRPr="00D47345">
              <w:rPr>
                <w:rFonts w:cs="Calibri"/>
                <w:sz w:val="20"/>
                <w:szCs w:val="20"/>
                <w:lang w:val="nl-NL"/>
              </w:rPr>
              <w:t>studie-uitval</w:t>
            </w:r>
            <w:r w:rsidRPr="00D47345">
              <w:rPr>
                <w:rFonts w:cs="Calibri"/>
                <w:sz w:val="20"/>
                <w:szCs w:val="20"/>
                <w:lang w:val="nl-NL"/>
              </w:rPr>
              <w:t xml:space="preserve"> die waarschijnlijk gezien wordt, al helemaal in de lange follow up studies. Dit komt door de vele </w:t>
            </w:r>
            <w:r w:rsidR="00701109" w:rsidRPr="00D47345">
              <w:rPr>
                <w:rFonts w:cs="Calibri"/>
                <w:sz w:val="20"/>
                <w:szCs w:val="20"/>
                <w:lang w:val="nl-NL"/>
              </w:rPr>
              <w:t>co-morbiditeit geassocieerd met deze patië</w:t>
            </w:r>
            <w:r w:rsidRPr="00D47345">
              <w:rPr>
                <w:rFonts w:cs="Calibri"/>
                <w:sz w:val="20"/>
                <w:szCs w:val="20"/>
                <w:lang w:val="nl-NL"/>
              </w:rPr>
              <w:t>ntengroep en de moeilijkheden inherent aan het vasthouden van een strikt protocol over vele maanden.</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 werving</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Data die de periode van werving en follow up aangeven</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Dit is niet een specifiek probleem voor wondzorg studies, alleen is er wel een debat over de lengte van follow up die nodig is om genezing te bewerkstelligen (zie het gedeelte “studiedesign overwegingen gerelateerd aan wondstudies”)</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 baseline data</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Baseline demografische gegevens en klinische karakteristieken van elke groep</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Dit zou geen probleem moeten zijn voor wondzorg studies, maar is vaak niet genoeg in detail beschreven: het is in het bijzonder belangrijk in studies met </w:t>
            </w:r>
            <w:r w:rsidR="00701109" w:rsidRPr="00D47345">
              <w:rPr>
                <w:rFonts w:cs="Calibri"/>
                <w:sz w:val="20"/>
                <w:szCs w:val="20"/>
                <w:lang w:val="nl-NL"/>
              </w:rPr>
              <w:t>patiënten</w:t>
            </w:r>
            <w:r w:rsidRPr="00D47345">
              <w:rPr>
                <w:rFonts w:cs="Calibri"/>
                <w:sz w:val="20"/>
                <w:szCs w:val="20"/>
                <w:lang w:val="nl-NL"/>
              </w:rPr>
              <w:t xml:space="preserve"> </w:t>
            </w:r>
            <w:r w:rsidR="00701109" w:rsidRPr="00D47345">
              <w:rPr>
                <w:rFonts w:cs="Calibri"/>
                <w:sz w:val="20"/>
                <w:szCs w:val="20"/>
                <w:lang w:val="nl-NL"/>
              </w:rPr>
              <w:t>met een grote mate van</w:t>
            </w:r>
            <w:r w:rsidRPr="00D47345">
              <w:rPr>
                <w:rFonts w:cs="Calibri"/>
                <w:sz w:val="20"/>
                <w:szCs w:val="20"/>
                <w:lang w:val="nl-NL"/>
              </w:rPr>
              <w:t xml:space="preserve"> </w:t>
            </w:r>
            <w:r w:rsidR="00701109" w:rsidRPr="00D47345">
              <w:rPr>
                <w:rFonts w:cs="Calibri"/>
                <w:sz w:val="20"/>
                <w:szCs w:val="20"/>
                <w:lang w:val="nl-NL"/>
              </w:rPr>
              <w:t>co-morbiditeit</w:t>
            </w:r>
            <w:r w:rsidRPr="00D47345">
              <w:rPr>
                <w:rFonts w:cs="Calibri"/>
                <w:sz w:val="20"/>
                <w:szCs w:val="20"/>
                <w:lang w:val="nl-NL"/>
              </w:rPr>
              <w:t xml:space="preserve">. </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 aantal geanalyseerd</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Aantal deelnemers (</w:t>
            </w:r>
            <w:proofErr w:type="spellStart"/>
            <w:r w:rsidRPr="00D47345">
              <w:rPr>
                <w:rFonts w:cs="Calibri"/>
                <w:sz w:val="20"/>
                <w:szCs w:val="20"/>
                <w:lang w:val="nl-NL"/>
              </w:rPr>
              <w:t>denominator</w:t>
            </w:r>
            <w:proofErr w:type="spellEnd"/>
            <w:r w:rsidRPr="00D47345">
              <w:rPr>
                <w:rFonts w:cs="Calibri"/>
                <w:sz w:val="20"/>
                <w:szCs w:val="20"/>
                <w:lang w:val="nl-NL"/>
              </w:rPr>
              <w:t>) in elke groep en elke analyse en of de analyse was ‘</w:t>
            </w:r>
            <w:proofErr w:type="spellStart"/>
            <w:r w:rsidRPr="00D47345">
              <w:rPr>
                <w:rFonts w:cs="Calibri"/>
                <w:sz w:val="20"/>
                <w:szCs w:val="20"/>
                <w:lang w:val="nl-NL"/>
              </w:rPr>
              <w:t>intention</w:t>
            </w:r>
            <w:proofErr w:type="spellEnd"/>
            <w:r w:rsidRPr="00D47345">
              <w:rPr>
                <w:rFonts w:cs="Calibri"/>
                <w:sz w:val="20"/>
                <w:szCs w:val="20"/>
                <w:lang w:val="nl-NL"/>
              </w:rPr>
              <w:t xml:space="preserve"> </w:t>
            </w:r>
            <w:proofErr w:type="spellStart"/>
            <w:r w:rsidRPr="00D47345">
              <w:rPr>
                <w:rFonts w:cs="Calibri"/>
                <w:sz w:val="20"/>
                <w:szCs w:val="20"/>
                <w:lang w:val="nl-NL"/>
              </w:rPr>
              <w:t>to</w:t>
            </w:r>
            <w:proofErr w:type="spellEnd"/>
            <w:r w:rsidRPr="00D47345">
              <w:rPr>
                <w:rFonts w:cs="Calibri"/>
                <w:sz w:val="20"/>
                <w:szCs w:val="20"/>
                <w:lang w:val="nl-NL"/>
              </w:rPr>
              <w:t xml:space="preserve"> </w:t>
            </w:r>
            <w:proofErr w:type="spellStart"/>
            <w:r w:rsidRPr="00D47345">
              <w:rPr>
                <w:rFonts w:cs="Calibri"/>
                <w:sz w:val="20"/>
                <w:szCs w:val="20"/>
                <w:lang w:val="nl-NL"/>
              </w:rPr>
              <w:t>treat</w:t>
            </w:r>
            <w:proofErr w:type="spellEnd"/>
            <w:r w:rsidRPr="00D47345">
              <w:rPr>
                <w:rFonts w:cs="Calibri"/>
                <w:sz w:val="20"/>
                <w:szCs w:val="20"/>
                <w:lang w:val="nl-NL"/>
              </w:rPr>
              <w:t>’. Geef de resultaten in absolute getallen wanneer uitvoerbaar (bijv 10 van de 20, niet 50%)</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 uitkomstmaten en schatting</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Voor elke primaire en secundaire uitkomstmaat, een samenvatting van de resultaten voor elke groep en het geschatte effect </w:t>
            </w:r>
            <w:r w:rsidR="0012686E" w:rsidRPr="00D47345">
              <w:rPr>
                <w:rFonts w:cs="Calibri"/>
                <w:sz w:val="20"/>
                <w:szCs w:val="20"/>
                <w:lang w:val="nl-NL"/>
              </w:rPr>
              <w:t xml:space="preserve">omvang </w:t>
            </w:r>
            <w:r w:rsidRPr="00D47345">
              <w:rPr>
                <w:rFonts w:cs="Calibri"/>
                <w:sz w:val="20"/>
                <w:szCs w:val="20"/>
                <w:lang w:val="nl-NL"/>
              </w:rPr>
              <w:t>en precisie (bijv. 95% betrouwbaarheidsintervallen)</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w:t>
            </w:r>
            <w:r w:rsidR="0012686E" w:rsidRPr="00D47345">
              <w:rPr>
                <w:rFonts w:cs="Calibri"/>
                <w:sz w:val="20"/>
                <w:szCs w:val="20"/>
                <w:lang w:val="nl-NL"/>
              </w:rPr>
              <w:t>: aanvullende</w:t>
            </w:r>
            <w:r w:rsidRPr="00D47345">
              <w:rPr>
                <w:rFonts w:cs="Calibri"/>
                <w:sz w:val="20"/>
                <w:szCs w:val="20"/>
                <w:lang w:val="nl-NL"/>
              </w:rPr>
              <w:t xml:space="preserve"> analyse</w:t>
            </w:r>
          </w:p>
        </w:tc>
        <w:tc>
          <w:tcPr>
            <w:tcW w:w="2800" w:type="dxa"/>
            <w:shd w:val="clear" w:color="auto" w:fill="CCC0D9" w:themeFill="accent4" w:themeFillTint="66"/>
          </w:tcPr>
          <w:p w:rsidR="003D0893" w:rsidRPr="00D47345" w:rsidRDefault="00D77F4B" w:rsidP="00432222">
            <w:pPr>
              <w:tabs>
                <w:tab w:val="left" w:pos="8265"/>
              </w:tabs>
              <w:spacing w:after="0" w:line="240" w:lineRule="auto"/>
              <w:rPr>
                <w:rFonts w:cs="Calibri"/>
                <w:sz w:val="20"/>
                <w:szCs w:val="20"/>
                <w:lang w:val="nl-NL"/>
              </w:rPr>
            </w:pPr>
            <w:r w:rsidRPr="00D47345">
              <w:rPr>
                <w:rFonts w:cs="Calibri"/>
                <w:sz w:val="20"/>
                <w:szCs w:val="20"/>
                <w:lang w:val="nl-NL"/>
              </w:rPr>
              <w:t xml:space="preserve">richten op </w:t>
            </w:r>
            <w:proofErr w:type="spellStart"/>
            <w:r w:rsidRPr="00D47345">
              <w:rPr>
                <w:rFonts w:cs="Calibri"/>
                <w:sz w:val="20"/>
                <w:szCs w:val="20"/>
                <w:lang w:val="nl-NL"/>
              </w:rPr>
              <w:t>multipliciteit</w:t>
            </w:r>
            <w:proofErr w:type="spellEnd"/>
            <w:r w:rsidR="003D0893" w:rsidRPr="00D47345">
              <w:rPr>
                <w:rFonts w:cs="Calibri"/>
                <w:sz w:val="20"/>
                <w:szCs w:val="20"/>
                <w:lang w:val="nl-NL"/>
              </w:rPr>
              <w:t xml:space="preserve"> door het beschrijven van andere uitgevoerde analyses, inclusief </w:t>
            </w:r>
            <w:r w:rsidR="0012686E" w:rsidRPr="00D47345">
              <w:rPr>
                <w:rFonts w:cs="Calibri"/>
                <w:sz w:val="20"/>
                <w:szCs w:val="20"/>
                <w:lang w:val="nl-NL"/>
              </w:rPr>
              <w:t>subanalyses</w:t>
            </w:r>
            <w:r w:rsidR="003D0893" w:rsidRPr="00D47345">
              <w:rPr>
                <w:rFonts w:cs="Calibri"/>
                <w:sz w:val="20"/>
                <w:szCs w:val="20"/>
                <w:lang w:val="nl-NL"/>
              </w:rPr>
              <w:t xml:space="preserve"> en aangepaste analyses. Aangeven welke vooraf zijn gespecificeerd en welke verkennend zijn. </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 Informatie over verbetering wordt doorgaans beschreven. Echter, er is noodzaak om data te includeren over wond verslechtering over de tijd, helemaal wanneer dit deel uitmaakt van het natuurlijke beloop van de onderliggende ziekte of samenhangt met het ontwikkelen van extra symptomen.</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Resultaten: ongewenste effecten</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Alle belangrijke ongewenste effecten en bijwerkingen in elke interventie groep.</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Discussie: interpretatie</w:t>
            </w:r>
          </w:p>
        </w:tc>
        <w:tc>
          <w:tcPr>
            <w:tcW w:w="2800" w:type="dxa"/>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Interpr</w:t>
            </w:r>
            <w:r w:rsidR="00D77F4B" w:rsidRPr="00D47345">
              <w:rPr>
                <w:rFonts w:cs="Calibri"/>
                <w:sz w:val="20"/>
                <w:szCs w:val="20"/>
                <w:lang w:val="nl-NL"/>
              </w:rPr>
              <w:t>et</w:t>
            </w:r>
            <w:r w:rsidRPr="00D47345">
              <w:rPr>
                <w:rFonts w:cs="Calibri"/>
                <w:sz w:val="20"/>
                <w:szCs w:val="20"/>
                <w:lang w:val="nl-NL"/>
              </w:rPr>
              <w:t xml:space="preserve">atie van de resultaten, meenemend de studie </w:t>
            </w:r>
            <w:r w:rsidRPr="00D47345">
              <w:rPr>
                <w:rFonts w:cs="Calibri"/>
                <w:sz w:val="20"/>
                <w:szCs w:val="20"/>
                <w:lang w:val="nl-NL"/>
              </w:rPr>
              <w:lastRenderedPageBreak/>
              <w:t>hypotheses, de oorzaken van mogelijk</w:t>
            </w:r>
            <w:r w:rsidR="00D77F4B" w:rsidRPr="00D47345">
              <w:rPr>
                <w:rFonts w:cs="Calibri"/>
                <w:sz w:val="20"/>
                <w:szCs w:val="20"/>
                <w:lang w:val="nl-NL"/>
              </w:rPr>
              <w:t>e</w:t>
            </w:r>
            <w:r w:rsidRPr="00D47345">
              <w:rPr>
                <w:rFonts w:cs="Calibri"/>
                <w:sz w:val="20"/>
                <w:szCs w:val="20"/>
                <w:lang w:val="nl-NL"/>
              </w:rPr>
              <w:t xml:space="preserve"> bias of onnauwkeurigheden en de gevaren geassocieerd met </w:t>
            </w:r>
            <w:r w:rsidR="00D77F4B" w:rsidRPr="00D47345">
              <w:rPr>
                <w:rFonts w:cs="Calibri"/>
                <w:sz w:val="20"/>
                <w:szCs w:val="20"/>
                <w:lang w:val="nl-NL"/>
              </w:rPr>
              <w:t xml:space="preserve">veelheid van </w:t>
            </w:r>
            <w:r w:rsidRPr="00D47345">
              <w:rPr>
                <w:rFonts w:cs="Calibri"/>
                <w:sz w:val="20"/>
                <w:szCs w:val="20"/>
                <w:lang w:val="nl-NL"/>
              </w:rPr>
              <w:t>analyses en uitkomstmaten</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lastRenderedPageBreak/>
              <w:t xml:space="preserve">Dit is vooral heel belangrijk wanneer </w:t>
            </w:r>
            <w:r w:rsidR="00D77F4B" w:rsidRPr="00D47345">
              <w:rPr>
                <w:rFonts w:cs="Calibri"/>
                <w:sz w:val="20"/>
                <w:szCs w:val="20"/>
                <w:lang w:val="nl-NL"/>
              </w:rPr>
              <w:t>patiënten</w:t>
            </w:r>
            <w:r w:rsidRPr="00D47345">
              <w:rPr>
                <w:rFonts w:cs="Calibri"/>
                <w:sz w:val="20"/>
                <w:szCs w:val="20"/>
                <w:lang w:val="nl-NL"/>
              </w:rPr>
              <w:t xml:space="preserve"> zich waarschijnlijk presenteren met een grote </w:t>
            </w:r>
            <w:r w:rsidR="00D77F4B" w:rsidRPr="00D47345">
              <w:rPr>
                <w:rFonts w:cs="Calibri"/>
                <w:sz w:val="20"/>
                <w:szCs w:val="20"/>
                <w:lang w:val="nl-NL"/>
              </w:rPr>
              <w:t>mate van</w:t>
            </w:r>
            <w:r w:rsidRPr="00D47345">
              <w:rPr>
                <w:rFonts w:cs="Calibri"/>
                <w:sz w:val="20"/>
                <w:szCs w:val="20"/>
                <w:lang w:val="nl-NL"/>
              </w:rPr>
              <w:t xml:space="preserve"> </w:t>
            </w:r>
            <w:r w:rsidR="00D77F4B" w:rsidRPr="00D47345">
              <w:rPr>
                <w:rFonts w:cs="Calibri"/>
                <w:sz w:val="20"/>
                <w:szCs w:val="20"/>
                <w:lang w:val="nl-NL"/>
              </w:rPr>
              <w:lastRenderedPageBreak/>
              <w:t>co-morbiditeit dat</w:t>
            </w:r>
            <w:r w:rsidRPr="00D47345">
              <w:rPr>
                <w:rFonts w:cs="Calibri"/>
                <w:sz w:val="20"/>
                <w:szCs w:val="20"/>
                <w:lang w:val="nl-NL"/>
              </w:rPr>
              <w:t xml:space="preserve"> interpr</w:t>
            </w:r>
            <w:r w:rsidR="00D77F4B" w:rsidRPr="00D47345">
              <w:rPr>
                <w:rFonts w:cs="Calibri"/>
                <w:sz w:val="20"/>
                <w:szCs w:val="20"/>
                <w:lang w:val="nl-NL"/>
              </w:rPr>
              <w:t>et</w:t>
            </w:r>
            <w:r w:rsidRPr="00D47345">
              <w:rPr>
                <w:rFonts w:cs="Calibri"/>
                <w:sz w:val="20"/>
                <w:szCs w:val="20"/>
                <w:lang w:val="nl-NL"/>
              </w:rPr>
              <w:t>atie kan bemoeilijken. Bias inherent aan wond studies worden later in dit document bediscussieerd.</w:t>
            </w:r>
          </w:p>
        </w:tc>
      </w:tr>
      <w:tr w:rsidR="003D0893" w:rsidRPr="00B73906" w:rsidTr="00FB74C0">
        <w:tc>
          <w:tcPr>
            <w:tcW w:w="2376" w:type="dxa"/>
            <w:tcBorders>
              <w:lef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lastRenderedPageBreak/>
              <w:t xml:space="preserve">Discussie: Generaliseerbaarheid </w:t>
            </w:r>
          </w:p>
        </w:tc>
        <w:tc>
          <w:tcPr>
            <w:tcW w:w="2800" w:type="dxa"/>
            <w:shd w:val="clear" w:color="auto" w:fill="CCC0D9" w:themeFill="accent4" w:themeFillTint="66"/>
          </w:tcPr>
          <w:p w:rsidR="003D0893" w:rsidRPr="00D47345" w:rsidRDefault="00D77F4B" w:rsidP="00432222">
            <w:pPr>
              <w:tabs>
                <w:tab w:val="left" w:pos="8265"/>
              </w:tabs>
              <w:spacing w:after="0" w:line="240" w:lineRule="auto"/>
              <w:rPr>
                <w:rFonts w:cs="Calibri"/>
                <w:sz w:val="20"/>
                <w:szCs w:val="20"/>
                <w:lang w:val="nl-NL"/>
              </w:rPr>
            </w:pPr>
            <w:r w:rsidRPr="00D47345">
              <w:rPr>
                <w:rFonts w:cs="Calibri"/>
                <w:sz w:val="20"/>
                <w:szCs w:val="20"/>
                <w:lang w:val="nl-NL"/>
              </w:rPr>
              <w:t xml:space="preserve">Generaliseerbaarheid </w:t>
            </w:r>
            <w:r w:rsidR="003D0893" w:rsidRPr="00D47345">
              <w:rPr>
                <w:rFonts w:cs="Calibri"/>
                <w:sz w:val="20"/>
                <w:szCs w:val="20"/>
                <w:lang w:val="nl-NL"/>
              </w:rPr>
              <w:t>(externe validiteit) van de onderzoeksbevindingen</w:t>
            </w:r>
          </w:p>
        </w:tc>
        <w:tc>
          <w:tcPr>
            <w:tcW w:w="4400" w:type="dxa"/>
            <w:tcBorders>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 In de wond gemeenschap heerst er een grote ongelijkheid in de wens voor een hoge interne validiteit voor goedkeuring</w:t>
            </w:r>
            <w:r w:rsidR="000771C7" w:rsidRPr="00D47345">
              <w:rPr>
                <w:rFonts w:cs="Calibri"/>
                <w:sz w:val="20"/>
                <w:szCs w:val="20"/>
                <w:lang w:val="nl-NL"/>
              </w:rPr>
              <w:t xml:space="preserve"> of vergoedingstudies ver</w:t>
            </w:r>
            <w:r w:rsidRPr="00D47345">
              <w:rPr>
                <w:rFonts w:cs="Calibri"/>
                <w:sz w:val="20"/>
                <w:szCs w:val="20"/>
                <w:lang w:val="nl-NL"/>
              </w:rPr>
              <w:t xml:space="preserve">geleken met de pragmatische studies die meer nuttige informatie kunnen leveren voor </w:t>
            </w:r>
            <w:r w:rsidR="000771C7" w:rsidRPr="00D47345">
              <w:rPr>
                <w:rFonts w:cs="Calibri"/>
                <w:sz w:val="20"/>
                <w:szCs w:val="20"/>
                <w:lang w:val="nl-NL"/>
              </w:rPr>
              <w:t>routine</w:t>
            </w:r>
            <w:r w:rsidRPr="00D47345">
              <w:rPr>
                <w:rFonts w:cs="Calibri"/>
                <w:sz w:val="20"/>
                <w:szCs w:val="20"/>
                <w:lang w:val="nl-NL"/>
              </w:rPr>
              <w:t xml:space="preserve"> klinische interpretatie.</w:t>
            </w:r>
          </w:p>
        </w:tc>
      </w:tr>
      <w:tr w:rsidR="003D0893" w:rsidRPr="00B73906" w:rsidTr="00FB74C0">
        <w:tc>
          <w:tcPr>
            <w:tcW w:w="2376" w:type="dxa"/>
            <w:tcBorders>
              <w:left w:val="nil"/>
              <w:bottom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Discussie: overall bewijs</w:t>
            </w:r>
          </w:p>
        </w:tc>
        <w:tc>
          <w:tcPr>
            <w:tcW w:w="2800" w:type="dxa"/>
            <w:tcBorders>
              <w:bottom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Algemene interp</w:t>
            </w:r>
            <w:r w:rsidR="000771C7" w:rsidRPr="00D47345">
              <w:rPr>
                <w:rFonts w:cs="Calibri"/>
                <w:sz w:val="20"/>
                <w:szCs w:val="20"/>
                <w:lang w:val="nl-NL"/>
              </w:rPr>
              <w:t>ret</w:t>
            </w:r>
            <w:r w:rsidRPr="00D47345">
              <w:rPr>
                <w:rFonts w:cs="Calibri"/>
                <w:sz w:val="20"/>
                <w:szCs w:val="20"/>
                <w:lang w:val="nl-NL"/>
              </w:rPr>
              <w:t>atie van de resultaten in de context van het huidige bewijs</w:t>
            </w:r>
          </w:p>
        </w:tc>
        <w:tc>
          <w:tcPr>
            <w:tcW w:w="4400" w:type="dxa"/>
            <w:tcBorders>
              <w:bottom w:val="nil"/>
              <w:right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Er zijn geen specifieke aandachtspunten voor wond zorg studies in het beschrijven van deze informatie.</w:t>
            </w:r>
          </w:p>
        </w:tc>
      </w:tr>
    </w:tbl>
    <w:p w:rsidR="00B77642" w:rsidRDefault="00B77642" w:rsidP="00FE0CD4">
      <w:pPr>
        <w:pStyle w:val="Plattetekst"/>
        <w:rPr>
          <w:rFonts w:cs="Calibri"/>
          <w:b/>
          <w:sz w:val="24"/>
          <w:szCs w:val="24"/>
          <w:lang w:val="nl-NL"/>
        </w:rPr>
      </w:pPr>
      <w:r>
        <w:rPr>
          <w:rFonts w:cs="Calibri"/>
          <w:b/>
          <w:sz w:val="24"/>
          <w:szCs w:val="24"/>
          <w:lang w:val="nl-NL"/>
        </w:rPr>
        <w:br/>
      </w:r>
      <w:r w:rsidR="003D0893" w:rsidRPr="00D47345">
        <w:rPr>
          <w:rFonts w:cs="Calibri"/>
          <w:b/>
          <w:sz w:val="24"/>
          <w:szCs w:val="24"/>
          <w:lang w:val="nl-NL"/>
        </w:rPr>
        <w:t>Figuur 1</w:t>
      </w:r>
      <w:r w:rsidR="00B229E0" w:rsidRPr="00D47345">
        <w:rPr>
          <w:rFonts w:cs="Calibri"/>
          <w:b/>
          <w:sz w:val="24"/>
          <w:szCs w:val="24"/>
          <w:lang w:val="nl-NL"/>
        </w:rPr>
        <w:t>.</w:t>
      </w:r>
      <w:r w:rsidR="003D0893" w:rsidRPr="00D47345">
        <w:rPr>
          <w:rFonts w:cs="Calibri"/>
          <w:b/>
          <w:sz w:val="24"/>
          <w:szCs w:val="24"/>
          <w:lang w:val="nl-NL"/>
        </w:rPr>
        <w:t xml:space="preserve"> Verschillende ontwikkelingsfasen voor medische apparatuur en medicijnen in </w:t>
      </w:r>
    </w:p>
    <w:p w:rsidR="001B4911" w:rsidRPr="00D47345" w:rsidRDefault="003D0893" w:rsidP="00FE0CD4">
      <w:pPr>
        <w:pStyle w:val="Plattetekst"/>
        <w:rPr>
          <w:rFonts w:cs="Calibri"/>
          <w:sz w:val="20"/>
          <w:szCs w:val="20"/>
          <w:lang w:val="nl-NL"/>
        </w:rPr>
      </w:pPr>
      <w:r w:rsidRPr="00D47345">
        <w:rPr>
          <w:rFonts w:cs="Calibri"/>
          <w:b/>
          <w:sz w:val="24"/>
          <w:szCs w:val="24"/>
          <w:lang w:val="nl-NL"/>
        </w:rPr>
        <w:t>Europa</w:t>
      </w:r>
      <w:r w:rsidR="00B77642">
        <w:rPr>
          <w:rFonts w:cs="Calibri"/>
          <w:b/>
          <w:sz w:val="24"/>
          <w:szCs w:val="24"/>
          <w:lang w:val="nl-NL"/>
        </w:rPr>
        <w:br/>
      </w:r>
      <w:r w:rsidR="001B4911" w:rsidRPr="00D47345">
        <w:rPr>
          <w:rFonts w:cs="Calibri"/>
          <w:noProof/>
          <w:sz w:val="20"/>
          <w:szCs w:val="20"/>
          <w:lang w:val="nl-NL" w:eastAsia="nl-NL"/>
        </w:rPr>
        <w:drawing>
          <wp:inline distT="0" distB="0" distL="0" distR="0" wp14:anchorId="73FD9320" wp14:editId="6202354C">
            <wp:extent cx="2596551" cy="4451231"/>
            <wp:effectExtent l="0" t="0" r="0" b="450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1B4911" w:rsidRPr="00D47345">
        <w:rPr>
          <w:rFonts w:cs="Calibri"/>
          <w:noProof/>
          <w:sz w:val="20"/>
          <w:szCs w:val="20"/>
          <w:lang w:val="nl-NL" w:eastAsia="nl-NL"/>
        </w:rPr>
        <w:drawing>
          <wp:inline distT="0" distB="0" distL="0" distR="0" wp14:anchorId="09C39C6C" wp14:editId="30549FB8">
            <wp:extent cx="2596551" cy="4502989"/>
            <wp:effectExtent l="0" t="19050" r="0"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D0893" w:rsidRPr="00D47345" w:rsidRDefault="003D0893" w:rsidP="00FE0CD4">
      <w:pPr>
        <w:pStyle w:val="Plattetekst"/>
        <w:rPr>
          <w:rFonts w:cs="Calibri"/>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7054"/>
      </w:tblGrid>
      <w:tr w:rsidR="003D0893" w:rsidRPr="00B73906" w:rsidTr="00DF7CC1">
        <w:tc>
          <w:tcPr>
            <w:tcW w:w="7054" w:type="dxa"/>
            <w:tcBorders>
              <w:bottom w:val="nil"/>
            </w:tcBorders>
            <w:shd w:val="clear" w:color="auto" w:fill="CCC0D9" w:themeFill="accent4" w:themeFillTint="66"/>
          </w:tcPr>
          <w:p w:rsidR="003D0893" w:rsidRPr="00B77642" w:rsidRDefault="003D0893" w:rsidP="00432222">
            <w:pPr>
              <w:tabs>
                <w:tab w:val="left" w:pos="8265"/>
              </w:tabs>
              <w:spacing w:after="0" w:line="240" w:lineRule="auto"/>
              <w:rPr>
                <w:rFonts w:cs="Calibri"/>
                <w:b/>
                <w:sz w:val="24"/>
                <w:szCs w:val="24"/>
                <w:lang w:val="nl-NL"/>
              </w:rPr>
            </w:pPr>
            <w:r w:rsidRPr="00B77642">
              <w:rPr>
                <w:rFonts w:cs="Calibri"/>
                <w:b/>
                <w:sz w:val="24"/>
                <w:szCs w:val="24"/>
                <w:lang w:val="nl-NL"/>
              </w:rPr>
              <w:lastRenderedPageBreak/>
              <w:t>Tabel 7 – Data nodig voor het demonstreren v</w:t>
            </w:r>
            <w:r w:rsidR="00DF1B10" w:rsidRPr="00B77642">
              <w:rPr>
                <w:rFonts w:cs="Calibri"/>
                <w:b/>
                <w:sz w:val="24"/>
                <w:szCs w:val="24"/>
                <w:lang w:val="nl-NL"/>
              </w:rPr>
              <w:t>an gelijkheid tussen hulpmiddelen*</w:t>
            </w:r>
          </w:p>
        </w:tc>
      </w:tr>
      <w:tr w:rsidR="003D0893" w:rsidRPr="00B73906" w:rsidTr="00DF7CC1">
        <w:tc>
          <w:tcPr>
            <w:tcW w:w="7054" w:type="dxa"/>
            <w:tcBorders>
              <w:top w:val="nil"/>
              <w:bottom w:val="nil"/>
            </w:tcBorders>
            <w:shd w:val="clear" w:color="auto" w:fill="CCC0D9" w:themeFill="accent4" w:themeFillTint="66"/>
          </w:tcPr>
          <w:p w:rsidR="003D0893" w:rsidRPr="00D47345" w:rsidRDefault="003D0893" w:rsidP="00432222">
            <w:pPr>
              <w:spacing w:after="0" w:line="240" w:lineRule="auto"/>
              <w:rPr>
                <w:rFonts w:cs="Calibri"/>
                <w:sz w:val="20"/>
                <w:szCs w:val="20"/>
                <w:lang w:val="nl-NL"/>
              </w:rPr>
            </w:pPr>
          </w:p>
        </w:tc>
      </w:tr>
      <w:tr w:rsidR="003D0893" w:rsidRPr="00D47345" w:rsidTr="00FB74C0">
        <w:tc>
          <w:tcPr>
            <w:tcW w:w="7054" w:type="dxa"/>
            <w:tcBorders>
              <w:top w:val="nil"/>
              <w:bottom w:val="single" w:sz="4" w:space="0" w:color="000000"/>
            </w:tcBorders>
            <w:shd w:val="clear" w:color="auto" w:fill="CCC0D9" w:themeFill="accent4" w:themeFillTint="66"/>
          </w:tcPr>
          <w:p w:rsidR="003D0893" w:rsidRPr="00D47345" w:rsidRDefault="003D0893" w:rsidP="00432222">
            <w:pPr>
              <w:spacing w:after="0" w:line="240" w:lineRule="auto"/>
              <w:rPr>
                <w:rFonts w:cs="Calibri"/>
                <w:sz w:val="20"/>
                <w:szCs w:val="20"/>
              </w:rPr>
            </w:pPr>
            <w:r w:rsidRPr="00D47345">
              <w:rPr>
                <w:rFonts w:cs="Calibri"/>
                <w:b/>
                <w:sz w:val="20"/>
                <w:szCs w:val="20"/>
                <w:lang w:val="nl-NL"/>
              </w:rPr>
              <w:t>Technisch</w:t>
            </w:r>
          </w:p>
        </w:tc>
      </w:tr>
      <w:tr w:rsidR="003D0893" w:rsidRPr="00D47345"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D</w:t>
            </w:r>
            <w:r w:rsidR="003D0893" w:rsidRPr="00D47345">
              <w:rPr>
                <w:rFonts w:cs="Calibri"/>
                <w:sz w:val="20"/>
                <w:szCs w:val="20"/>
                <w:lang w:val="nl-NL"/>
              </w:rPr>
              <w:t>ezelfde gebruiksvoorwaarden</w:t>
            </w:r>
          </w:p>
        </w:tc>
      </w:tr>
      <w:tr w:rsidR="003D0893" w:rsidRPr="00D47345"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D</w:t>
            </w:r>
            <w:r w:rsidR="003D0893" w:rsidRPr="00D47345">
              <w:rPr>
                <w:rFonts w:cs="Calibri"/>
                <w:sz w:val="20"/>
                <w:szCs w:val="20"/>
                <w:lang w:val="nl-NL"/>
              </w:rPr>
              <w:t>ezelfde specificaties en eigenschappen (</w:t>
            </w:r>
            <w:r w:rsidR="000771C7" w:rsidRPr="00D47345">
              <w:rPr>
                <w:rFonts w:cs="Calibri"/>
                <w:sz w:val="20"/>
                <w:szCs w:val="20"/>
                <w:lang w:val="nl-NL"/>
              </w:rPr>
              <w:t>bv</w:t>
            </w:r>
            <w:r w:rsidR="003D0893" w:rsidRPr="00D47345">
              <w:rPr>
                <w:rFonts w:cs="Calibri"/>
                <w:sz w:val="20"/>
                <w:szCs w:val="20"/>
                <w:lang w:val="nl-NL"/>
              </w:rPr>
              <w:t>. Breukvastheid, Viscositeit, oppervlakte karakteristieken)</w:t>
            </w:r>
          </w:p>
        </w:tc>
      </w:tr>
      <w:tr w:rsidR="003D0893" w:rsidRPr="00D47345"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H</w:t>
            </w:r>
            <w:r w:rsidR="003D0893" w:rsidRPr="00D47345">
              <w:rPr>
                <w:rFonts w:cs="Calibri"/>
                <w:sz w:val="20"/>
                <w:szCs w:val="20"/>
                <w:lang w:val="nl-NL"/>
              </w:rPr>
              <w:t>etzelfde design</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D</w:t>
            </w:r>
            <w:r w:rsidR="003D0893" w:rsidRPr="00D47345">
              <w:rPr>
                <w:rFonts w:cs="Calibri"/>
                <w:sz w:val="20"/>
                <w:szCs w:val="20"/>
                <w:lang w:val="nl-NL"/>
              </w:rPr>
              <w:t>ezelfde manier van ontplooien (wanneer relevant)</w:t>
            </w:r>
          </w:p>
        </w:tc>
      </w:tr>
      <w:tr w:rsidR="003D0893" w:rsidRPr="00D47345"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D</w:t>
            </w:r>
            <w:r w:rsidR="003D0893" w:rsidRPr="00D47345">
              <w:rPr>
                <w:rFonts w:cs="Calibri"/>
                <w:sz w:val="20"/>
                <w:szCs w:val="20"/>
                <w:lang w:val="nl-NL"/>
              </w:rPr>
              <w:t>ezelfde operatieprincipes</w:t>
            </w:r>
          </w:p>
        </w:tc>
      </w:tr>
      <w:tr w:rsidR="003D0893" w:rsidRPr="00B73906" w:rsidTr="00DF7CC1">
        <w:tc>
          <w:tcPr>
            <w:tcW w:w="7054" w:type="dxa"/>
            <w:tcBorders>
              <w:top w:val="single" w:sz="4" w:space="0" w:color="000000"/>
              <w:bottom w:val="nil"/>
            </w:tcBorders>
            <w:shd w:val="clear" w:color="auto" w:fill="CCC0D9" w:themeFill="accent4" w:themeFillTint="66"/>
          </w:tcPr>
          <w:p w:rsidR="003D0893" w:rsidRPr="00D47345" w:rsidRDefault="00DF7CC1" w:rsidP="00432222">
            <w:pPr>
              <w:tabs>
                <w:tab w:val="left" w:pos="8265"/>
              </w:tabs>
              <w:spacing w:after="0" w:line="240" w:lineRule="auto"/>
              <w:rPr>
                <w:rFonts w:cs="Calibri"/>
                <w:sz w:val="20"/>
                <w:szCs w:val="20"/>
                <w:lang w:val="nl-NL"/>
              </w:rPr>
            </w:pPr>
            <w:r w:rsidRPr="00D47345">
              <w:rPr>
                <w:rFonts w:cs="Calibri"/>
                <w:sz w:val="20"/>
                <w:szCs w:val="20"/>
                <w:lang w:val="nl-NL"/>
              </w:rPr>
              <w:t>Zi</w:t>
            </w:r>
            <w:r w:rsidR="003D0893" w:rsidRPr="00D47345">
              <w:rPr>
                <w:rFonts w:cs="Calibri"/>
                <w:sz w:val="20"/>
                <w:szCs w:val="20"/>
                <w:lang w:val="nl-NL"/>
              </w:rPr>
              <w:t>e ook de geharmoniseerde normen voor wondverbanden en medische apparatuur (meer informatie is beschikbaar op de EWMA website)</w:t>
            </w:r>
          </w:p>
        </w:tc>
      </w:tr>
      <w:tr w:rsidR="003D0893" w:rsidRPr="00D47345" w:rsidTr="00DF7CC1">
        <w:tc>
          <w:tcPr>
            <w:tcW w:w="7054" w:type="dxa"/>
            <w:tcBorders>
              <w:top w:val="nil"/>
              <w:bottom w:val="single" w:sz="4" w:space="0" w:color="000000"/>
            </w:tcBorders>
            <w:shd w:val="clear" w:color="auto" w:fill="CCC0D9" w:themeFill="accent4" w:themeFillTint="66"/>
          </w:tcPr>
          <w:p w:rsidR="003D0893" w:rsidRPr="00D47345" w:rsidRDefault="003D0893" w:rsidP="00DF7CC1">
            <w:pPr>
              <w:spacing w:before="120" w:after="0" w:line="240" w:lineRule="auto"/>
              <w:rPr>
                <w:rFonts w:cs="Calibri"/>
                <w:sz w:val="20"/>
                <w:szCs w:val="20"/>
              </w:rPr>
            </w:pPr>
            <w:r w:rsidRPr="00D47345">
              <w:rPr>
                <w:rFonts w:cs="Calibri"/>
                <w:b/>
                <w:sz w:val="20"/>
                <w:szCs w:val="20"/>
                <w:lang w:val="nl-NL"/>
              </w:rPr>
              <w:t>Biologisch</w:t>
            </w:r>
          </w:p>
        </w:tc>
      </w:tr>
      <w:tr w:rsidR="003D0893" w:rsidRPr="00B73906" w:rsidTr="00DF7CC1">
        <w:tc>
          <w:tcPr>
            <w:tcW w:w="7054" w:type="dxa"/>
            <w:tcBorders>
              <w:top w:val="single" w:sz="4" w:space="0" w:color="000000"/>
              <w:bottom w:val="nil"/>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Gebruik dezelfde materialen in contact met dezelfde menselijke weefsels of lichaamsvloeistoffen.</w:t>
            </w:r>
          </w:p>
        </w:tc>
      </w:tr>
      <w:tr w:rsidR="003D0893" w:rsidRPr="00D47345" w:rsidTr="00DF7CC1">
        <w:tc>
          <w:tcPr>
            <w:tcW w:w="7054" w:type="dxa"/>
            <w:tcBorders>
              <w:top w:val="nil"/>
              <w:bottom w:val="single" w:sz="4" w:space="0" w:color="000000"/>
            </w:tcBorders>
            <w:shd w:val="clear" w:color="auto" w:fill="CCC0D9" w:themeFill="accent4" w:themeFillTint="66"/>
          </w:tcPr>
          <w:p w:rsidR="003D0893" w:rsidRPr="00D47345" w:rsidRDefault="003D0893" w:rsidP="00DF7CC1">
            <w:pPr>
              <w:tabs>
                <w:tab w:val="left" w:pos="8265"/>
              </w:tabs>
              <w:spacing w:before="120" w:after="0" w:line="240" w:lineRule="auto"/>
              <w:rPr>
                <w:rFonts w:cs="Calibri"/>
                <w:b/>
                <w:sz w:val="20"/>
                <w:szCs w:val="20"/>
                <w:lang w:val="nl-NL"/>
              </w:rPr>
            </w:pPr>
            <w:r w:rsidRPr="00D47345">
              <w:rPr>
                <w:rFonts w:cs="Calibri"/>
                <w:b/>
                <w:sz w:val="20"/>
                <w:szCs w:val="20"/>
                <w:lang w:val="nl-NL"/>
              </w:rPr>
              <w:t>Klinisch</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gebruikt voor dezelfde klinische gebruiksvoorwaarden of doel</w:t>
            </w:r>
          </w:p>
        </w:tc>
      </w:tr>
      <w:tr w:rsidR="003D0893" w:rsidRPr="00D47345"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gebruikt op dezelfde lichaamsdeel</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gebruikt in dezelfde populatie (inclusief leeftijd, anatomie, fysiologie)</w:t>
            </w:r>
          </w:p>
        </w:tc>
      </w:tr>
      <w:tr w:rsidR="003D0893" w:rsidRPr="00B73906" w:rsidTr="00DF7CC1">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b/>
                <w:sz w:val="20"/>
                <w:szCs w:val="20"/>
                <w:lang w:val="nl-NL"/>
              </w:rPr>
            </w:pPr>
            <w:r w:rsidRPr="00D47345">
              <w:rPr>
                <w:rFonts w:cs="Calibri"/>
                <w:sz w:val="20"/>
                <w:szCs w:val="20"/>
                <w:lang w:val="nl-NL"/>
              </w:rPr>
              <w:t>Dezelfde kritisch relevante prestatie kijkend naar het verwachte klinische effect voor het specifieke gebruiksdoel.</w:t>
            </w:r>
          </w:p>
        </w:tc>
      </w:tr>
      <w:tr w:rsidR="00DF7CC1" w:rsidRPr="00B73906" w:rsidTr="00FB74C0">
        <w:tc>
          <w:tcPr>
            <w:tcW w:w="7054" w:type="dxa"/>
            <w:tcBorders>
              <w:top w:val="single" w:sz="4" w:space="0" w:color="000000"/>
              <w:bottom w:val="nil"/>
            </w:tcBorders>
            <w:shd w:val="clear" w:color="auto" w:fill="CCC0D9" w:themeFill="accent4" w:themeFillTint="66"/>
          </w:tcPr>
          <w:p w:rsidR="00DF7CC1" w:rsidRPr="00D47345" w:rsidRDefault="00DF7CC1" w:rsidP="00DF7CC1">
            <w:pPr>
              <w:tabs>
                <w:tab w:val="left" w:pos="8265"/>
              </w:tabs>
              <w:spacing w:before="240"/>
              <w:rPr>
                <w:rFonts w:cs="Calibri"/>
                <w:sz w:val="20"/>
                <w:szCs w:val="20"/>
                <w:lang w:val="nl-NL"/>
              </w:rPr>
            </w:pPr>
            <w:r w:rsidRPr="00D47345">
              <w:rPr>
                <w:rFonts w:cs="Calibri"/>
                <w:sz w:val="20"/>
                <w:szCs w:val="20"/>
                <w:lang w:val="nl-NL"/>
              </w:rPr>
              <w:t>*Volgens MEDDEV 2.7.1 en 2.12/2 (aanbevelingen, niet verplicht bij wet)</w:t>
            </w:r>
          </w:p>
        </w:tc>
      </w:tr>
    </w:tbl>
    <w:p w:rsidR="003D0893" w:rsidRPr="00D47345" w:rsidRDefault="003D0893" w:rsidP="003D0893">
      <w:pPr>
        <w:tabs>
          <w:tab w:val="left" w:pos="8265"/>
        </w:tabs>
        <w:rPr>
          <w:rFonts w:cs="Calibri"/>
          <w:sz w:val="20"/>
          <w:szCs w:val="20"/>
          <w:lang w:val="nl-NL"/>
        </w:rPr>
      </w:pPr>
    </w:p>
    <w:p w:rsidR="003D0893" w:rsidRPr="00D47345" w:rsidRDefault="003D0893" w:rsidP="003D0893">
      <w:pPr>
        <w:tabs>
          <w:tab w:val="left" w:pos="8265"/>
        </w:tabs>
        <w:rPr>
          <w:rFonts w:cs="Calibri"/>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7054"/>
      </w:tblGrid>
      <w:tr w:rsidR="003D0893" w:rsidRPr="00B73906" w:rsidTr="00FB74C0">
        <w:tc>
          <w:tcPr>
            <w:tcW w:w="7054" w:type="dxa"/>
            <w:tcBorders>
              <w:top w:val="nil"/>
              <w:left w:val="nil"/>
              <w:bottom w:val="nil"/>
            </w:tcBorders>
            <w:shd w:val="clear" w:color="auto" w:fill="CCC0D9" w:themeFill="accent4" w:themeFillTint="66"/>
          </w:tcPr>
          <w:p w:rsidR="003D0893" w:rsidRPr="00B77642" w:rsidRDefault="003D0893" w:rsidP="00B77642">
            <w:pPr>
              <w:tabs>
                <w:tab w:val="left" w:pos="8265"/>
              </w:tabs>
              <w:spacing w:after="0" w:line="240" w:lineRule="auto"/>
              <w:rPr>
                <w:rFonts w:cs="Calibri"/>
                <w:b/>
                <w:sz w:val="24"/>
                <w:szCs w:val="24"/>
                <w:lang w:val="nl-NL"/>
              </w:rPr>
            </w:pPr>
            <w:r w:rsidRPr="00B77642">
              <w:rPr>
                <w:rFonts w:cs="Calibri"/>
                <w:b/>
                <w:sz w:val="24"/>
                <w:szCs w:val="24"/>
                <w:lang w:val="nl-NL"/>
              </w:rPr>
              <w:t>Tabel 8</w:t>
            </w:r>
            <w:r w:rsidR="00B77642" w:rsidRPr="00B77642">
              <w:rPr>
                <w:rFonts w:cs="Calibri"/>
                <w:b/>
                <w:sz w:val="24"/>
                <w:szCs w:val="24"/>
                <w:lang w:val="nl-NL"/>
              </w:rPr>
              <w:t>.</w:t>
            </w:r>
            <w:r w:rsidRPr="00B77642">
              <w:rPr>
                <w:rFonts w:cs="Calibri"/>
                <w:b/>
                <w:sz w:val="24"/>
                <w:szCs w:val="24"/>
                <w:lang w:val="nl-NL"/>
              </w:rPr>
              <w:t xml:space="preserve"> </w:t>
            </w:r>
            <w:r w:rsidR="00B77642" w:rsidRPr="00B77642">
              <w:rPr>
                <w:rFonts w:cs="Calibri"/>
                <w:b/>
                <w:sz w:val="24"/>
                <w:szCs w:val="24"/>
                <w:lang w:val="nl-NL"/>
              </w:rPr>
              <w:t>T</w:t>
            </w:r>
            <w:r w:rsidRPr="00B77642">
              <w:rPr>
                <w:rFonts w:cs="Calibri"/>
                <w:b/>
                <w:sz w:val="24"/>
                <w:szCs w:val="24"/>
                <w:lang w:val="nl-NL"/>
              </w:rPr>
              <w:t xml:space="preserve">estbatterij voor medische apparatuur gebruikt </w:t>
            </w:r>
            <w:r w:rsidR="00DF1B10" w:rsidRPr="00B77642">
              <w:rPr>
                <w:rFonts w:cs="Calibri"/>
                <w:b/>
                <w:sz w:val="24"/>
                <w:szCs w:val="24"/>
                <w:lang w:val="nl-NL"/>
              </w:rPr>
              <w:t xml:space="preserve">bij </w:t>
            </w:r>
            <w:r w:rsidRPr="00B77642">
              <w:rPr>
                <w:rFonts w:cs="Calibri"/>
                <w:b/>
                <w:sz w:val="24"/>
                <w:szCs w:val="24"/>
                <w:lang w:val="nl-NL"/>
              </w:rPr>
              <w:t xml:space="preserve">wond </w:t>
            </w:r>
            <w:r w:rsidR="00DF1B10" w:rsidRPr="00B77642">
              <w:rPr>
                <w:rFonts w:cs="Calibri"/>
                <w:b/>
                <w:sz w:val="24"/>
                <w:szCs w:val="24"/>
                <w:lang w:val="nl-NL"/>
              </w:rPr>
              <w:t>behandeling</w:t>
            </w:r>
            <w:r w:rsidRPr="00B77642">
              <w:rPr>
                <w:rFonts w:cs="Calibri"/>
                <w:b/>
                <w:sz w:val="24"/>
                <w:szCs w:val="24"/>
                <w:lang w:val="nl-NL"/>
              </w:rPr>
              <w:t xml:space="preserve">, om product </w:t>
            </w:r>
            <w:r w:rsidR="00DF1B10" w:rsidRPr="00B77642">
              <w:rPr>
                <w:rFonts w:cs="Calibri"/>
                <w:b/>
                <w:sz w:val="24"/>
                <w:szCs w:val="24"/>
                <w:lang w:val="nl-NL"/>
              </w:rPr>
              <w:t>aanspraken te staven</w:t>
            </w:r>
            <w:r w:rsidRPr="00B77642">
              <w:rPr>
                <w:rFonts w:cs="Calibri"/>
                <w:b/>
                <w:sz w:val="24"/>
                <w:szCs w:val="24"/>
                <w:lang w:val="nl-NL"/>
              </w:rPr>
              <w:t>*</w:t>
            </w:r>
          </w:p>
        </w:tc>
      </w:tr>
      <w:tr w:rsidR="003D0893" w:rsidRPr="00D47345" w:rsidTr="00FB74C0">
        <w:tc>
          <w:tcPr>
            <w:tcW w:w="7054" w:type="dxa"/>
            <w:tcBorders>
              <w:top w:val="nil"/>
              <w:bottom w:val="single" w:sz="4" w:space="0" w:color="000000"/>
            </w:tcBorders>
            <w:shd w:val="clear" w:color="auto" w:fill="CCC0D9" w:themeFill="accent4" w:themeFillTint="66"/>
          </w:tcPr>
          <w:p w:rsidR="003D0893" w:rsidRPr="00D47345" w:rsidRDefault="003D0893" w:rsidP="00432222">
            <w:pPr>
              <w:tabs>
                <w:tab w:val="left" w:pos="8265"/>
              </w:tabs>
              <w:spacing w:before="120" w:after="0" w:line="240" w:lineRule="auto"/>
              <w:rPr>
                <w:rFonts w:cs="Calibri"/>
                <w:b/>
                <w:sz w:val="20"/>
                <w:szCs w:val="20"/>
                <w:lang w:val="nl-NL"/>
              </w:rPr>
            </w:pPr>
            <w:r w:rsidRPr="00D47345">
              <w:rPr>
                <w:rFonts w:cs="Calibri"/>
                <w:b/>
                <w:sz w:val="20"/>
                <w:szCs w:val="20"/>
                <w:lang w:val="nl-NL"/>
              </w:rPr>
              <w:t>Technische categorie: in vitro, in vivo, ex vivo</w:t>
            </w:r>
          </w:p>
        </w:tc>
      </w:tr>
      <w:tr w:rsidR="003D0893" w:rsidRPr="00D47345" w:rsidTr="00FB74C0">
        <w:tc>
          <w:tcPr>
            <w:tcW w:w="7054" w:type="dxa"/>
            <w:tcBorders>
              <w:top w:val="single" w:sz="4" w:space="0" w:color="000000"/>
              <w:bottom w:val="nil"/>
            </w:tcBorders>
            <w:shd w:val="clear" w:color="auto" w:fill="CCC0D9" w:themeFill="accent4" w:themeFillTint="66"/>
          </w:tcPr>
          <w:p w:rsidR="003D0893" w:rsidRPr="00D47345" w:rsidRDefault="00DF1B10" w:rsidP="00432222">
            <w:pPr>
              <w:tabs>
                <w:tab w:val="left" w:pos="8265"/>
              </w:tabs>
              <w:spacing w:after="0" w:line="240" w:lineRule="auto"/>
              <w:rPr>
                <w:rFonts w:cs="Calibri"/>
                <w:sz w:val="20"/>
                <w:szCs w:val="20"/>
              </w:rPr>
            </w:pPr>
            <w:proofErr w:type="spellStart"/>
            <w:r w:rsidRPr="00D47345">
              <w:rPr>
                <w:rFonts w:cs="Calibri"/>
                <w:sz w:val="20"/>
                <w:szCs w:val="20"/>
              </w:rPr>
              <w:t>Biocom</w:t>
            </w:r>
            <w:r w:rsidR="003D0893" w:rsidRPr="00D47345">
              <w:rPr>
                <w:rFonts w:cs="Calibri"/>
                <w:sz w:val="20"/>
                <w:szCs w:val="20"/>
              </w:rPr>
              <w:t>patibiliteit</w:t>
            </w:r>
            <w:proofErr w:type="spellEnd"/>
            <w:r w:rsidR="003D0893" w:rsidRPr="00D47345">
              <w:rPr>
                <w:rFonts w:cs="Calibri"/>
                <w:sz w:val="20"/>
                <w:szCs w:val="20"/>
              </w:rPr>
              <w:t xml:space="preserve">, product </w:t>
            </w:r>
            <w:proofErr w:type="spellStart"/>
            <w:r w:rsidR="003D0893" w:rsidRPr="00D47345">
              <w:rPr>
                <w:rFonts w:cs="Calibri"/>
                <w:sz w:val="20"/>
                <w:szCs w:val="20"/>
              </w:rPr>
              <w:t>specifieke</w:t>
            </w:r>
            <w:proofErr w:type="spellEnd"/>
            <w:r w:rsidR="003D0893" w:rsidRPr="00D47345">
              <w:rPr>
                <w:rFonts w:cs="Calibri"/>
                <w:sz w:val="20"/>
                <w:szCs w:val="20"/>
              </w:rPr>
              <w:t xml:space="preserve"> </w:t>
            </w:r>
            <w:proofErr w:type="spellStart"/>
            <w:r w:rsidR="003D0893" w:rsidRPr="00D47345">
              <w:rPr>
                <w:rFonts w:cs="Calibri"/>
                <w:sz w:val="20"/>
                <w:szCs w:val="20"/>
              </w:rPr>
              <w:t>effecten</w:t>
            </w:r>
            <w:proofErr w:type="spellEnd"/>
            <w:r w:rsidR="003D0893" w:rsidRPr="00D47345">
              <w:rPr>
                <w:rFonts w:cs="Calibri"/>
                <w:sz w:val="20"/>
                <w:szCs w:val="20"/>
              </w:rPr>
              <w:t xml:space="preserve">: </w:t>
            </w:r>
            <w:proofErr w:type="spellStart"/>
            <w:r w:rsidR="003D0893" w:rsidRPr="00D47345">
              <w:rPr>
                <w:rFonts w:cs="Calibri"/>
                <w:sz w:val="20"/>
                <w:szCs w:val="20"/>
              </w:rPr>
              <w:t>bijv</w:t>
            </w:r>
            <w:proofErr w:type="spellEnd"/>
            <w:r w:rsidR="003D0893" w:rsidRPr="00D47345">
              <w:rPr>
                <w:rFonts w:cs="Calibri"/>
                <w:sz w:val="20"/>
                <w:szCs w:val="20"/>
              </w:rPr>
              <w:t xml:space="preserve">. </w:t>
            </w:r>
            <w:proofErr w:type="spellStart"/>
            <w:r w:rsidR="003D0893" w:rsidRPr="00D47345">
              <w:rPr>
                <w:rFonts w:cs="Calibri"/>
                <w:sz w:val="20"/>
                <w:szCs w:val="20"/>
              </w:rPr>
              <w:t>bindende</w:t>
            </w:r>
            <w:proofErr w:type="spellEnd"/>
            <w:r w:rsidR="003D0893" w:rsidRPr="00D47345">
              <w:rPr>
                <w:rFonts w:cs="Calibri"/>
                <w:sz w:val="20"/>
                <w:szCs w:val="20"/>
              </w:rPr>
              <w:t xml:space="preserve"> of </w:t>
            </w:r>
            <w:proofErr w:type="spellStart"/>
            <w:r w:rsidR="003D0893" w:rsidRPr="00D47345">
              <w:rPr>
                <w:rFonts w:cs="Calibri"/>
                <w:sz w:val="20"/>
                <w:szCs w:val="20"/>
              </w:rPr>
              <w:t>inflammatoire</w:t>
            </w:r>
            <w:proofErr w:type="spellEnd"/>
            <w:r w:rsidR="003D0893" w:rsidRPr="00D47345">
              <w:rPr>
                <w:rFonts w:cs="Calibri"/>
                <w:sz w:val="20"/>
                <w:szCs w:val="20"/>
              </w:rPr>
              <w:t xml:space="preserve"> parameters; </w:t>
            </w:r>
            <w:proofErr w:type="spellStart"/>
            <w:r w:rsidR="003D0893" w:rsidRPr="00D47345">
              <w:rPr>
                <w:rFonts w:cs="Calibri"/>
                <w:sz w:val="20"/>
                <w:szCs w:val="20"/>
              </w:rPr>
              <w:t>antimicrobi</w:t>
            </w:r>
            <w:r w:rsidRPr="00D47345">
              <w:rPr>
                <w:rFonts w:cs="Calibri"/>
                <w:sz w:val="20"/>
                <w:szCs w:val="20"/>
              </w:rPr>
              <w:t>ële</w:t>
            </w:r>
            <w:proofErr w:type="spellEnd"/>
            <w:r w:rsidRPr="00D47345">
              <w:rPr>
                <w:rFonts w:cs="Calibri"/>
                <w:sz w:val="20"/>
                <w:szCs w:val="20"/>
              </w:rPr>
              <w:t xml:space="preserve"> of anti-</w:t>
            </w:r>
            <w:proofErr w:type="spellStart"/>
            <w:r w:rsidRPr="00D47345">
              <w:rPr>
                <w:rFonts w:cs="Calibri"/>
                <w:sz w:val="20"/>
                <w:szCs w:val="20"/>
              </w:rPr>
              <w:t>inflammatoire</w:t>
            </w:r>
            <w:proofErr w:type="spellEnd"/>
            <w:r w:rsidRPr="00D47345">
              <w:rPr>
                <w:rFonts w:cs="Calibri"/>
                <w:sz w:val="20"/>
                <w:szCs w:val="20"/>
              </w:rPr>
              <w:t xml:space="preserve"> </w:t>
            </w:r>
            <w:proofErr w:type="spellStart"/>
            <w:r w:rsidRPr="00D47345">
              <w:rPr>
                <w:rFonts w:cs="Calibri"/>
                <w:sz w:val="20"/>
                <w:szCs w:val="20"/>
              </w:rPr>
              <w:t>handelingen</w:t>
            </w:r>
            <w:proofErr w:type="spellEnd"/>
            <w:r w:rsidR="003D0893" w:rsidRPr="00D47345">
              <w:rPr>
                <w:rFonts w:cs="Calibri"/>
                <w:sz w:val="20"/>
                <w:szCs w:val="20"/>
              </w:rPr>
              <w:t xml:space="preserve">, </w:t>
            </w:r>
            <w:proofErr w:type="spellStart"/>
            <w:r w:rsidR="003D0893" w:rsidRPr="00D47345">
              <w:rPr>
                <w:rFonts w:cs="Calibri"/>
                <w:sz w:val="20"/>
                <w:szCs w:val="20"/>
              </w:rPr>
              <w:t>cytotoxiciteit</w:t>
            </w:r>
            <w:proofErr w:type="spellEnd"/>
            <w:r w:rsidR="003D0893" w:rsidRPr="00D47345">
              <w:rPr>
                <w:rFonts w:cs="Calibri"/>
                <w:sz w:val="20"/>
                <w:szCs w:val="20"/>
              </w:rPr>
              <w:t xml:space="preserve">, </w:t>
            </w:r>
            <w:proofErr w:type="spellStart"/>
            <w:r w:rsidR="003D0893" w:rsidRPr="00D47345">
              <w:rPr>
                <w:rFonts w:cs="Calibri"/>
                <w:sz w:val="20"/>
                <w:szCs w:val="20"/>
              </w:rPr>
              <w:t>sensitiviteit</w:t>
            </w:r>
            <w:proofErr w:type="spellEnd"/>
            <w:r w:rsidR="003D0893" w:rsidRPr="00D47345">
              <w:rPr>
                <w:rFonts w:cs="Calibri"/>
                <w:sz w:val="20"/>
                <w:szCs w:val="20"/>
              </w:rPr>
              <w:t xml:space="preserve">, </w:t>
            </w:r>
            <w:proofErr w:type="spellStart"/>
            <w:r w:rsidR="003D0893" w:rsidRPr="00D47345">
              <w:rPr>
                <w:rFonts w:cs="Calibri"/>
                <w:sz w:val="20"/>
                <w:szCs w:val="20"/>
              </w:rPr>
              <w:t>irritatie</w:t>
            </w:r>
            <w:proofErr w:type="spellEnd"/>
            <w:r w:rsidR="003D0893" w:rsidRPr="00D47345">
              <w:rPr>
                <w:rFonts w:cs="Calibri"/>
                <w:sz w:val="20"/>
                <w:szCs w:val="20"/>
              </w:rPr>
              <w:t xml:space="preserve"> </w:t>
            </w:r>
            <w:proofErr w:type="spellStart"/>
            <w:r w:rsidR="003D0893" w:rsidRPr="00D47345">
              <w:rPr>
                <w:rFonts w:cs="Calibri"/>
                <w:sz w:val="20"/>
                <w:szCs w:val="20"/>
              </w:rPr>
              <w:t>etc</w:t>
            </w:r>
            <w:proofErr w:type="spellEnd"/>
          </w:p>
          <w:p w:rsidR="003D0893" w:rsidRPr="00D47345" w:rsidRDefault="003D0893" w:rsidP="00432222">
            <w:pPr>
              <w:tabs>
                <w:tab w:val="left" w:pos="8265"/>
              </w:tabs>
              <w:spacing w:after="0" w:line="240" w:lineRule="auto"/>
              <w:rPr>
                <w:rFonts w:cs="Calibri"/>
                <w:sz w:val="20"/>
                <w:szCs w:val="20"/>
              </w:rPr>
            </w:pPr>
          </w:p>
        </w:tc>
      </w:tr>
      <w:tr w:rsidR="003D0893" w:rsidRPr="00B73906" w:rsidTr="00FB74C0">
        <w:tc>
          <w:tcPr>
            <w:tcW w:w="7054" w:type="dxa"/>
            <w:tcBorders>
              <w:top w:val="nil"/>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b/>
                <w:sz w:val="20"/>
                <w:szCs w:val="20"/>
                <w:lang w:val="nl-NL"/>
              </w:rPr>
            </w:pPr>
            <w:r w:rsidRPr="00D47345">
              <w:rPr>
                <w:rFonts w:cs="Calibri"/>
                <w:b/>
                <w:sz w:val="20"/>
                <w:szCs w:val="20"/>
                <w:lang w:val="nl-NL"/>
              </w:rPr>
              <w:t>Klinische stages in de pre-marketing categorie</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Verdraagbaarheid en patiënt veiligheid in kleine groepen gezonde vrijwilligers of patiënten (casuïstiek, casuïstiek series, klinische uitvoerbaarheid, onderzoek) Het doel kan zijn onderzoek naar de breedte van doseren en identificatie van bijwerkingen; bepalen van het effect van het product op verschillende weefsel parameters; casuïstiek over verschillende typen chronische en acute wonden (wanneer mogelijk gelieerd aan het specifieke product)</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Vergelijken van klinische effectiviteit en verdraagbaarheid op een kleine groep patiënten (klinische uitvoerbaarheid studies)</w:t>
            </w:r>
          </w:p>
        </w:tc>
      </w:tr>
      <w:tr w:rsidR="003D0893" w:rsidRPr="00B73906" w:rsidTr="00FB74C0">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 xml:space="preserve">Het primaire doel hier is om een nieuwe behandeling te vergelijken met de bestaande standaard therapie. Dit kunnen cohort onderzoeken zijn; gerandomiseerde </w:t>
            </w:r>
            <w:r w:rsidR="006F6DC7" w:rsidRPr="00D47345">
              <w:rPr>
                <w:rFonts w:cs="Calibri"/>
                <w:sz w:val="20"/>
                <w:szCs w:val="20"/>
                <w:lang w:val="nl-NL"/>
              </w:rPr>
              <w:t xml:space="preserve">adequaat </w:t>
            </w:r>
            <w:r w:rsidR="000B7431" w:rsidRPr="00D47345">
              <w:rPr>
                <w:rFonts w:cs="Calibri"/>
                <w:sz w:val="20"/>
                <w:szCs w:val="20"/>
                <w:lang w:val="nl-NL"/>
              </w:rPr>
              <w:t xml:space="preserve">krachtige </w:t>
            </w:r>
            <w:proofErr w:type="spellStart"/>
            <w:r w:rsidRPr="00D47345">
              <w:rPr>
                <w:rFonts w:cs="Calibri"/>
                <w:sz w:val="20"/>
                <w:szCs w:val="20"/>
                <w:lang w:val="nl-NL"/>
              </w:rPr>
              <w:t>vergelijking</w:t>
            </w:r>
            <w:r w:rsidR="006F6DC7" w:rsidRPr="00D47345">
              <w:rPr>
                <w:rFonts w:cs="Calibri"/>
                <w:sz w:val="20"/>
                <w:szCs w:val="20"/>
                <w:lang w:val="nl-NL"/>
              </w:rPr>
              <w:t>s</w:t>
            </w:r>
            <w:proofErr w:type="spellEnd"/>
            <w:r w:rsidRPr="00D47345">
              <w:rPr>
                <w:rFonts w:cs="Calibri"/>
                <w:sz w:val="20"/>
                <w:szCs w:val="20"/>
                <w:lang w:val="nl-NL"/>
              </w:rPr>
              <w:t xml:space="preserve"> onderzoeken voor klinische effectiviteit in een strikt gedefinieerde populatie; monitoren van bijwerkingen, kosteneffectiviteit, kwaliteit van leven.</w:t>
            </w:r>
          </w:p>
        </w:tc>
      </w:tr>
      <w:tr w:rsidR="003D0893" w:rsidRPr="00D47345" w:rsidTr="00FB74C0">
        <w:tc>
          <w:tcPr>
            <w:tcW w:w="7054" w:type="dxa"/>
            <w:tcBorders>
              <w:top w:val="nil"/>
              <w:bottom w:val="single" w:sz="4" w:space="0" w:color="000000"/>
            </w:tcBorders>
            <w:shd w:val="clear" w:color="auto" w:fill="CCC0D9" w:themeFill="accent4" w:themeFillTint="66"/>
          </w:tcPr>
          <w:p w:rsidR="003D0893" w:rsidRPr="00D47345" w:rsidRDefault="003D0893" w:rsidP="00432222">
            <w:pPr>
              <w:tabs>
                <w:tab w:val="left" w:pos="8265"/>
              </w:tabs>
              <w:spacing w:before="120" w:after="0" w:line="240" w:lineRule="auto"/>
              <w:rPr>
                <w:rFonts w:cs="Calibri"/>
                <w:b/>
                <w:sz w:val="20"/>
                <w:szCs w:val="20"/>
                <w:lang w:val="nl-NL"/>
              </w:rPr>
            </w:pPr>
          </w:p>
          <w:p w:rsidR="003D0893" w:rsidRPr="00D47345" w:rsidRDefault="003D0893" w:rsidP="00B77642">
            <w:pPr>
              <w:tabs>
                <w:tab w:val="left" w:pos="8265"/>
              </w:tabs>
              <w:spacing w:before="120" w:after="0" w:line="240" w:lineRule="auto"/>
              <w:rPr>
                <w:rFonts w:cs="Calibri"/>
                <w:b/>
                <w:sz w:val="20"/>
                <w:szCs w:val="20"/>
              </w:rPr>
            </w:pPr>
            <w:r w:rsidRPr="00D47345">
              <w:rPr>
                <w:rFonts w:cs="Calibri"/>
                <w:b/>
                <w:sz w:val="20"/>
                <w:szCs w:val="20"/>
              </w:rPr>
              <w:t xml:space="preserve">Post-marketing </w:t>
            </w:r>
            <w:r w:rsidRPr="00B77642">
              <w:rPr>
                <w:rFonts w:cs="Calibri"/>
                <w:b/>
                <w:sz w:val="20"/>
                <w:szCs w:val="20"/>
              </w:rPr>
              <w:t xml:space="preserve">surveillance </w:t>
            </w:r>
            <w:r w:rsidRPr="00D47345">
              <w:rPr>
                <w:rFonts w:cs="Calibri"/>
                <w:b/>
                <w:sz w:val="20"/>
                <w:szCs w:val="20"/>
              </w:rPr>
              <w:t>(PMS) of post-</w:t>
            </w:r>
            <w:r w:rsidRPr="00B77642">
              <w:rPr>
                <w:rFonts w:cs="Calibri"/>
                <w:b/>
                <w:sz w:val="20"/>
                <w:szCs w:val="20"/>
              </w:rPr>
              <w:t xml:space="preserve">marketing </w:t>
            </w:r>
            <w:proofErr w:type="spellStart"/>
            <w:r w:rsidRPr="00B77642">
              <w:rPr>
                <w:rFonts w:cs="Calibri"/>
                <w:b/>
                <w:sz w:val="20"/>
                <w:szCs w:val="20"/>
              </w:rPr>
              <w:t>klinische</w:t>
            </w:r>
            <w:proofErr w:type="spellEnd"/>
            <w:r w:rsidRPr="00B77642">
              <w:rPr>
                <w:rFonts w:cs="Calibri"/>
                <w:b/>
                <w:sz w:val="20"/>
                <w:szCs w:val="20"/>
              </w:rPr>
              <w:t xml:space="preserve"> follow up</w:t>
            </w:r>
            <w:r w:rsidRPr="00D47345">
              <w:rPr>
                <w:rFonts w:cs="Calibri"/>
                <w:b/>
                <w:sz w:val="20"/>
                <w:szCs w:val="20"/>
              </w:rPr>
              <w:t xml:space="preserve"> (PMCF)</w:t>
            </w:r>
          </w:p>
        </w:tc>
      </w:tr>
      <w:tr w:rsidR="003D0893" w:rsidRPr="00B73906" w:rsidTr="00B77642">
        <w:tc>
          <w:tcPr>
            <w:tcW w:w="7054" w:type="dxa"/>
            <w:tcBorders>
              <w:top w:val="single" w:sz="4" w:space="0" w:color="000000"/>
              <w:bottom w:val="single" w:sz="4" w:space="0" w:color="000000"/>
            </w:tcBorders>
            <w:shd w:val="clear" w:color="auto" w:fill="CCC0D9" w:themeFill="accent4" w:themeFillTint="66"/>
          </w:tcPr>
          <w:p w:rsidR="003D0893" w:rsidRPr="00D47345" w:rsidRDefault="003D0893" w:rsidP="00432222">
            <w:pPr>
              <w:tabs>
                <w:tab w:val="left" w:pos="8265"/>
              </w:tabs>
              <w:spacing w:after="0" w:line="240" w:lineRule="auto"/>
              <w:rPr>
                <w:rFonts w:cs="Calibri"/>
                <w:sz w:val="20"/>
                <w:szCs w:val="20"/>
                <w:lang w:val="nl-NL"/>
              </w:rPr>
            </w:pPr>
            <w:r w:rsidRPr="00D47345">
              <w:rPr>
                <w:rFonts w:cs="Calibri"/>
                <w:sz w:val="20"/>
                <w:szCs w:val="20"/>
                <w:lang w:val="nl-NL"/>
              </w:rPr>
              <w:t>Pragmatische studies die het gebruik in de dagelijkse praktijk weergeven om zo additionele informatie te leveren over de voordelen van het product en diens optimale gebruik (bijv. casuïstiek series, cohort onderzoeken, vergelijkende onderzoeken tussen data uit de dagelijkse praktijk met geregistreerde data, gerandomiseerde vergelijking onderzoeken)</w:t>
            </w:r>
          </w:p>
        </w:tc>
      </w:tr>
      <w:tr w:rsidR="00B77642" w:rsidRPr="00B73906" w:rsidTr="00FB74C0">
        <w:tc>
          <w:tcPr>
            <w:tcW w:w="7054" w:type="dxa"/>
            <w:tcBorders>
              <w:top w:val="single" w:sz="4" w:space="0" w:color="000000"/>
            </w:tcBorders>
            <w:shd w:val="clear" w:color="auto" w:fill="CCC0D9" w:themeFill="accent4" w:themeFillTint="66"/>
          </w:tcPr>
          <w:p w:rsidR="00B77642" w:rsidRPr="00D47345" w:rsidRDefault="00B77642" w:rsidP="00432222">
            <w:pPr>
              <w:tabs>
                <w:tab w:val="left" w:pos="8265"/>
              </w:tabs>
              <w:spacing w:after="0" w:line="240" w:lineRule="auto"/>
              <w:rPr>
                <w:rFonts w:cs="Calibri"/>
                <w:sz w:val="20"/>
                <w:szCs w:val="20"/>
                <w:lang w:val="nl-NL"/>
              </w:rPr>
            </w:pPr>
            <w:r w:rsidRPr="00D47345">
              <w:rPr>
                <w:rFonts w:cs="Calibri"/>
                <w:sz w:val="20"/>
                <w:szCs w:val="20"/>
                <w:lang w:val="nl-NL"/>
              </w:rPr>
              <w:t>*een voorbeeld van het ontwikkelingsproces; geen wettelijk vereiste.</w:t>
            </w:r>
          </w:p>
        </w:tc>
      </w:tr>
    </w:tbl>
    <w:p w:rsidR="00480542" w:rsidRPr="00D47345" w:rsidRDefault="00480542" w:rsidP="00820BD5">
      <w:pPr>
        <w:tabs>
          <w:tab w:val="left" w:pos="8265"/>
        </w:tabs>
        <w:rPr>
          <w:rFonts w:cs="Calibri"/>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7054"/>
      </w:tblGrid>
      <w:tr w:rsidR="00480542" w:rsidRPr="00D47345" w:rsidTr="00B77642">
        <w:tc>
          <w:tcPr>
            <w:tcW w:w="7054" w:type="dxa"/>
            <w:tcBorders>
              <w:bottom w:val="nil"/>
            </w:tcBorders>
            <w:shd w:val="clear" w:color="auto" w:fill="CCC0D9" w:themeFill="accent4" w:themeFillTint="66"/>
          </w:tcPr>
          <w:p w:rsidR="00480542" w:rsidRPr="00B77642" w:rsidRDefault="00480542" w:rsidP="001968DD">
            <w:pPr>
              <w:tabs>
                <w:tab w:val="left" w:pos="8265"/>
              </w:tabs>
              <w:spacing w:after="0" w:line="240" w:lineRule="auto"/>
              <w:rPr>
                <w:rFonts w:cs="Calibri"/>
                <w:b/>
                <w:sz w:val="24"/>
                <w:szCs w:val="24"/>
                <w:lang w:val="nl-NL"/>
              </w:rPr>
            </w:pPr>
            <w:r w:rsidRPr="00B77642">
              <w:rPr>
                <w:rFonts w:cs="Calibri"/>
                <w:b/>
                <w:sz w:val="24"/>
                <w:szCs w:val="24"/>
                <w:lang w:val="nl-NL"/>
              </w:rPr>
              <w:t>Tabel 9. Literatuurstudie en -analyse</w:t>
            </w:r>
          </w:p>
        </w:tc>
      </w:tr>
      <w:tr w:rsidR="00480542" w:rsidRPr="00D47345" w:rsidTr="00B77642">
        <w:tc>
          <w:tcPr>
            <w:tcW w:w="7054" w:type="dxa"/>
            <w:tcBorders>
              <w:top w:val="nil"/>
              <w:left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Zoekopdracht</w:t>
            </w:r>
          </w:p>
        </w:tc>
      </w:tr>
      <w:tr w:rsidR="00480542" w:rsidRPr="00B73906" w:rsidTr="00B77642">
        <w:tc>
          <w:tcPr>
            <w:tcW w:w="7054" w:type="dxa"/>
            <w:tcBorders>
              <w:top w:val="single" w:sz="4" w:space="0" w:color="000000"/>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371 hits bij een zoekopdracht in </w:t>
            </w:r>
            <w:proofErr w:type="spellStart"/>
            <w:r w:rsidRPr="00D47345">
              <w:rPr>
                <w:rFonts w:cs="Calibri"/>
                <w:sz w:val="20"/>
                <w:szCs w:val="20"/>
                <w:lang w:val="nl-NL"/>
              </w:rPr>
              <w:t>Medline</w:t>
            </w:r>
            <w:proofErr w:type="spellEnd"/>
            <w:r w:rsidRPr="00D47345">
              <w:rPr>
                <w:rFonts w:cs="Calibri"/>
                <w:sz w:val="20"/>
                <w:szCs w:val="20"/>
                <w:lang w:val="nl-NL"/>
              </w:rPr>
              <w:t xml:space="preserve"> en </w:t>
            </w:r>
            <w:proofErr w:type="spellStart"/>
            <w:r w:rsidRPr="00D47345">
              <w:rPr>
                <w:rFonts w:cs="Calibri"/>
                <w:sz w:val="20"/>
                <w:szCs w:val="20"/>
                <w:lang w:val="nl-NL"/>
              </w:rPr>
              <w:t>Embase</w:t>
            </w:r>
            <w:proofErr w:type="spellEnd"/>
          </w:p>
        </w:tc>
      </w:tr>
      <w:tr w:rsidR="00480542" w:rsidRPr="00D47345" w:rsidTr="00B77642">
        <w:tc>
          <w:tcPr>
            <w:tcW w:w="7054"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Zoektermen/-criteria</w:t>
            </w:r>
          </w:p>
        </w:tc>
      </w:tr>
      <w:tr w:rsidR="00480542" w:rsidRPr="00B73906" w:rsidTr="00B77642">
        <w:tc>
          <w:tcPr>
            <w:tcW w:w="7054" w:type="dxa"/>
            <w:tcBorders>
              <w:top w:val="single" w:sz="4" w:space="0" w:color="000000"/>
              <w:bottom w:val="nil"/>
            </w:tcBorders>
            <w:shd w:val="clear" w:color="auto" w:fill="CCC0D9" w:themeFill="accent4" w:themeFillTint="66"/>
          </w:tcPr>
          <w:p w:rsidR="00480542" w:rsidRPr="00D47345" w:rsidRDefault="006F6DC7" w:rsidP="001968DD">
            <w:pPr>
              <w:tabs>
                <w:tab w:val="left" w:pos="8265"/>
              </w:tabs>
              <w:spacing w:after="0" w:line="240" w:lineRule="auto"/>
              <w:rPr>
                <w:rFonts w:cs="Calibri"/>
                <w:color w:val="FF0000"/>
                <w:sz w:val="20"/>
                <w:szCs w:val="20"/>
                <w:lang w:val="nl-NL"/>
              </w:rPr>
            </w:pPr>
            <w:r w:rsidRPr="00D47345">
              <w:rPr>
                <w:rFonts w:cs="Calibri"/>
                <w:color w:val="FF0000"/>
                <w:sz w:val="20"/>
                <w:szCs w:val="20"/>
                <w:lang w:val="nl-NL"/>
              </w:rPr>
              <w:t xml:space="preserve"> </w:t>
            </w:r>
            <w:r w:rsidRPr="00D47345">
              <w:rPr>
                <w:rFonts w:cs="Calibri"/>
                <w:sz w:val="20"/>
                <w:szCs w:val="20"/>
                <w:lang w:val="nl-NL"/>
              </w:rPr>
              <w:t>De zoekopdracht:</w:t>
            </w:r>
          </w:p>
          <w:p w:rsidR="00480542" w:rsidRPr="00D47345" w:rsidRDefault="0002440A" w:rsidP="0002440A">
            <w:pPr>
              <w:pStyle w:val="Lijstalinea1"/>
              <w:tabs>
                <w:tab w:val="left" w:pos="8265"/>
              </w:tabs>
              <w:spacing w:after="0" w:line="240" w:lineRule="auto"/>
              <w:ind w:left="360"/>
              <w:rPr>
                <w:rFonts w:cs="Calibri"/>
                <w:sz w:val="20"/>
                <w:szCs w:val="20"/>
                <w:lang w:val="nl-NL"/>
              </w:rPr>
            </w:pPr>
            <w:r w:rsidRPr="00D47345">
              <w:rPr>
                <w:rFonts w:cs="Calibri"/>
                <w:sz w:val="20"/>
                <w:szCs w:val="20"/>
                <w:lang w:val="nl-NL"/>
              </w:rPr>
              <w:t xml:space="preserve">- </w:t>
            </w:r>
            <w:r w:rsidR="00480542" w:rsidRPr="00D47345">
              <w:rPr>
                <w:rFonts w:cs="Calibri"/>
                <w:sz w:val="20"/>
                <w:szCs w:val="20"/>
                <w:lang w:val="nl-NL"/>
              </w:rPr>
              <w:t>Gezocht op alle klinische en vergelijkende studies over wonden</w:t>
            </w:r>
          </w:p>
          <w:p w:rsidR="00480542" w:rsidRPr="00D47345" w:rsidRDefault="0002440A" w:rsidP="0002440A">
            <w:pPr>
              <w:pStyle w:val="Lijstalinea1"/>
              <w:tabs>
                <w:tab w:val="left" w:pos="8265"/>
              </w:tabs>
              <w:spacing w:after="0" w:line="240" w:lineRule="auto"/>
              <w:ind w:left="360"/>
              <w:rPr>
                <w:rFonts w:cs="Calibri"/>
                <w:sz w:val="20"/>
                <w:szCs w:val="20"/>
                <w:lang w:val="nl-NL"/>
              </w:rPr>
            </w:pPr>
            <w:r w:rsidRPr="00D47345">
              <w:rPr>
                <w:rFonts w:cs="Calibri"/>
                <w:sz w:val="20"/>
                <w:szCs w:val="20"/>
                <w:lang w:val="nl-NL"/>
              </w:rPr>
              <w:t xml:space="preserve">- </w:t>
            </w:r>
            <w:r w:rsidR="00480542" w:rsidRPr="00D47345">
              <w:rPr>
                <w:rFonts w:cs="Calibri"/>
                <w:sz w:val="20"/>
                <w:szCs w:val="20"/>
                <w:lang w:val="nl-NL"/>
              </w:rPr>
              <w:t>Alleen studies over mensen</w:t>
            </w:r>
          </w:p>
          <w:p w:rsidR="00480542" w:rsidRPr="00D47345" w:rsidRDefault="0002440A" w:rsidP="0002440A">
            <w:pPr>
              <w:pStyle w:val="Lijstalinea1"/>
              <w:tabs>
                <w:tab w:val="left" w:pos="8265"/>
              </w:tabs>
              <w:spacing w:after="0" w:line="240" w:lineRule="auto"/>
              <w:ind w:left="360"/>
              <w:rPr>
                <w:rFonts w:cs="Calibri"/>
                <w:sz w:val="20"/>
                <w:szCs w:val="20"/>
                <w:lang w:val="nl-NL"/>
              </w:rPr>
            </w:pPr>
            <w:r w:rsidRPr="00D47345">
              <w:rPr>
                <w:rFonts w:cs="Calibri"/>
                <w:sz w:val="20"/>
                <w:szCs w:val="20"/>
                <w:lang w:val="nl-NL"/>
              </w:rPr>
              <w:t xml:space="preserve">- </w:t>
            </w:r>
            <w:r w:rsidR="00480542" w:rsidRPr="00D47345">
              <w:rPr>
                <w:rFonts w:cs="Calibri"/>
                <w:sz w:val="20"/>
                <w:szCs w:val="20"/>
                <w:lang w:val="nl-NL"/>
              </w:rPr>
              <w:t>Periode: 2003-september 2009</w:t>
            </w:r>
          </w:p>
          <w:p w:rsidR="00480542" w:rsidRPr="00D47345" w:rsidRDefault="00480542" w:rsidP="001968DD">
            <w:pPr>
              <w:tabs>
                <w:tab w:val="left" w:pos="8265"/>
              </w:tabs>
              <w:spacing w:after="0" w:line="240" w:lineRule="auto"/>
              <w:rPr>
                <w:rFonts w:cs="Calibri"/>
                <w:sz w:val="20"/>
                <w:szCs w:val="20"/>
                <w:lang w:val="nl-NL"/>
              </w:rPr>
            </w:pP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Sleutelwoorden: chronische wonden, decubitus, veneuze ulcera, diabetische voet ulcera</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Onderwerp: interventie, wond management, wondbedekking</w:t>
            </w:r>
            <w:r w:rsidR="0002440A" w:rsidRPr="00D47345">
              <w:rPr>
                <w:rFonts w:cs="Calibri"/>
                <w:sz w:val="20"/>
                <w:szCs w:val="20"/>
                <w:lang w:val="nl-NL"/>
              </w:rPr>
              <w:t>s</w:t>
            </w:r>
            <w:r w:rsidRPr="00D47345">
              <w:rPr>
                <w:rFonts w:cs="Calibri"/>
                <w:sz w:val="20"/>
                <w:szCs w:val="20"/>
                <w:lang w:val="nl-NL"/>
              </w:rPr>
              <w:t>materiaal, behandeling, hulpmiddelen, (farmacologische) medicijnen</w:t>
            </w:r>
          </w:p>
        </w:tc>
      </w:tr>
      <w:tr w:rsidR="00480542" w:rsidRPr="00D47345" w:rsidTr="00B77642">
        <w:tc>
          <w:tcPr>
            <w:tcW w:w="7054"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Het onderzoek</w:t>
            </w:r>
          </w:p>
        </w:tc>
      </w:tr>
      <w:tr w:rsidR="00480542" w:rsidRPr="00B73906" w:rsidTr="00B77642">
        <w:tc>
          <w:tcPr>
            <w:tcW w:w="7054" w:type="dxa"/>
            <w:tcBorders>
              <w:top w:val="single" w:sz="4" w:space="0" w:color="000000"/>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176 artikelen zijn geanalyseerd en </w:t>
            </w:r>
            <w:r w:rsidR="006F6DC7" w:rsidRPr="00D47345">
              <w:rPr>
                <w:rFonts w:cs="Calibri"/>
                <w:sz w:val="20"/>
                <w:szCs w:val="20"/>
                <w:lang w:val="nl-NL"/>
              </w:rPr>
              <w:t xml:space="preserve">ingevoerd </w:t>
            </w:r>
            <w:r w:rsidRPr="00D47345">
              <w:rPr>
                <w:rFonts w:cs="Calibri"/>
                <w:sz w:val="20"/>
                <w:szCs w:val="20"/>
                <w:lang w:val="nl-NL"/>
              </w:rPr>
              <w:t>in de statistieken over het gebruik van uitkomstmaten</w:t>
            </w:r>
          </w:p>
        </w:tc>
      </w:tr>
      <w:tr w:rsidR="00480542" w:rsidRPr="00D47345" w:rsidTr="00B77642">
        <w:tc>
          <w:tcPr>
            <w:tcW w:w="7054"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Exclusie criteria</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Niet menselijk</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6F6DC7" w:rsidP="001968DD">
            <w:pPr>
              <w:tabs>
                <w:tab w:val="left" w:pos="8265"/>
              </w:tabs>
              <w:spacing w:after="0" w:line="240" w:lineRule="auto"/>
              <w:rPr>
                <w:rFonts w:cs="Calibri"/>
                <w:sz w:val="20"/>
                <w:szCs w:val="20"/>
                <w:lang w:val="nl-NL"/>
              </w:rPr>
            </w:pPr>
            <w:r w:rsidRPr="00D47345">
              <w:rPr>
                <w:rFonts w:cs="Calibri"/>
                <w:sz w:val="20"/>
                <w:szCs w:val="20"/>
                <w:lang w:val="nl-NL"/>
              </w:rPr>
              <w:t>Reviews</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Artikelen over een mening</w:t>
            </w:r>
          </w:p>
        </w:tc>
      </w:tr>
      <w:tr w:rsidR="00480542" w:rsidRPr="00B73906"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Acute wonden (zoals brandwonden etc.)</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Preventie studies</w:t>
            </w:r>
          </w:p>
        </w:tc>
      </w:tr>
      <w:tr w:rsidR="00480542" w:rsidRPr="00B73906"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Case </w:t>
            </w:r>
            <w:proofErr w:type="spellStart"/>
            <w:r w:rsidRPr="00D47345">
              <w:rPr>
                <w:rFonts w:cs="Calibri"/>
                <w:sz w:val="20"/>
                <w:szCs w:val="20"/>
                <w:lang w:val="nl-NL"/>
              </w:rPr>
              <w:t>reports</w:t>
            </w:r>
            <w:proofErr w:type="spellEnd"/>
            <w:r w:rsidRPr="00D47345">
              <w:rPr>
                <w:rFonts w:cs="Calibri"/>
                <w:sz w:val="20"/>
                <w:szCs w:val="20"/>
                <w:lang w:val="nl-NL"/>
              </w:rPr>
              <w:t xml:space="preserve"> (indien er niet naar specifieke eindpunten wordt gekeken)</w:t>
            </w:r>
          </w:p>
        </w:tc>
      </w:tr>
      <w:tr w:rsidR="00480542" w:rsidRPr="00B73906" w:rsidTr="00B77642">
        <w:tc>
          <w:tcPr>
            <w:tcW w:w="7054" w:type="dxa"/>
            <w:tcBorders>
              <w:top w:val="single" w:sz="4" w:space="0" w:color="000000"/>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Artikelen in buitenlandse talen (tenzij ze bijzonder relevant zijn, dan worden ze vertaald)</w:t>
            </w:r>
          </w:p>
        </w:tc>
      </w:tr>
      <w:tr w:rsidR="00480542" w:rsidRPr="00D47345" w:rsidTr="00B77642">
        <w:tc>
          <w:tcPr>
            <w:tcW w:w="7054"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Inclusie criteria</w:t>
            </w:r>
          </w:p>
        </w:tc>
      </w:tr>
      <w:tr w:rsidR="00480542" w:rsidRPr="00B73906"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Veneuze ulcera, diabetische ulcera en decubitus</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Onderzoekstudie</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Vergelijkende studies</w:t>
            </w:r>
          </w:p>
        </w:tc>
      </w:tr>
      <w:tr w:rsidR="00480542" w:rsidRPr="00D47345" w:rsidTr="00B77642">
        <w:tc>
          <w:tcPr>
            <w:tcW w:w="7054"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Behandeling</w:t>
            </w:r>
          </w:p>
        </w:tc>
      </w:tr>
      <w:tr w:rsidR="00480542" w:rsidRPr="00B73906" w:rsidTr="00B77642">
        <w:tc>
          <w:tcPr>
            <w:tcW w:w="7054" w:type="dxa"/>
            <w:tcBorders>
              <w:top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Alleen Engelstalige artikelen (tenzij ze bijzonder relevant zijn, dan worden ze vertaald)</w:t>
            </w:r>
          </w:p>
        </w:tc>
      </w:tr>
    </w:tbl>
    <w:p w:rsidR="00480542" w:rsidRPr="00D47345" w:rsidRDefault="00480542" w:rsidP="00820BD5">
      <w:pPr>
        <w:tabs>
          <w:tab w:val="left" w:pos="8265"/>
        </w:tabs>
        <w:rPr>
          <w:rFonts w:cs="Calibri"/>
          <w:sz w:val="20"/>
          <w:szCs w:val="20"/>
          <w:lang w:val="nl-NL"/>
        </w:rPr>
      </w:pPr>
    </w:p>
    <w:p w:rsidR="00480542" w:rsidRPr="00D47345" w:rsidRDefault="00480542" w:rsidP="00820BD5">
      <w:pPr>
        <w:tabs>
          <w:tab w:val="left" w:pos="8265"/>
        </w:tabs>
        <w:rPr>
          <w:rFonts w:cs="Calibri"/>
          <w:b/>
          <w:sz w:val="20"/>
          <w:szCs w:val="20"/>
          <w:lang w:val="nl-NL"/>
        </w:rPr>
      </w:pPr>
    </w:p>
    <w:tbl>
      <w:tblPr>
        <w:tblW w:w="5000" w:type="pct"/>
        <w:tblBorders>
          <w:insideH w:val="single" w:sz="4" w:space="0" w:color="000000"/>
        </w:tblBorders>
        <w:shd w:val="clear" w:color="auto" w:fill="CCC0D9" w:themeFill="accent4" w:themeFillTint="66"/>
        <w:tblLook w:val="00A0" w:firstRow="1" w:lastRow="0" w:firstColumn="1" w:lastColumn="0" w:noHBand="0" w:noVBand="0"/>
      </w:tblPr>
      <w:tblGrid>
        <w:gridCol w:w="2494"/>
        <w:gridCol w:w="749"/>
        <w:gridCol w:w="739"/>
        <w:gridCol w:w="1004"/>
        <w:gridCol w:w="741"/>
        <w:gridCol w:w="1398"/>
        <w:gridCol w:w="852"/>
        <w:gridCol w:w="862"/>
        <w:gridCol w:w="737"/>
      </w:tblGrid>
      <w:tr w:rsidR="00480542" w:rsidRPr="00D47345" w:rsidTr="00FB74C0">
        <w:tc>
          <w:tcPr>
            <w:tcW w:w="5000" w:type="pct"/>
            <w:gridSpan w:val="9"/>
            <w:tcBorders>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3A7377">
              <w:rPr>
                <w:rFonts w:cs="Calibri"/>
                <w:b/>
                <w:sz w:val="24"/>
                <w:szCs w:val="24"/>
                <w:lang w:val="nl-NL"/>
              </w:rPr>
              <w:t>Tabel 10. Bestendigheid</w:t>
            </w:r>
            <w:r w:rsidRPr="003A7377">
              <w:rPr>
                <w:rFonts w:cs="Calibri"/>
                <w:b/>
                <w:color w:val="FF0000"/>
                <w:sz w:val="24"/>
                <w:szCs w:val="24"/>
                <w:lang w:val="nl-NL"/>
              </w:rPr>
              <w:t xml:space="preserve"> </w:t>
            </w:r>
            <w:r w:rsidRPr="003A7377">
              <w:rPr>
                <w:rFonts w:cs="Calibri"/>
                <w:b/>
                <w:sz w:val="24"/>
                <w:szCs w:val="24"/>
                <w:lang w:val="nl-NL"/>
              </w:rPr>
              <w:t>en reproduceerbaarheid</w:t>
            </w:r>
            <w:r w:rsidRPr="00D47345">
              <w:rPr>
                <w:rFonts w:cs="Calibri"/>
                <w:b/>
                <w:sz w:val="20"/>
                <w:szCs w:val="20"/>
                <w:lang w:val="nl-NL"/>
              </w:rPr>
              <w:t>*</w:t>
            </w:r>
          </w:p>
          <w:p w:rsidR="00480542" w:rsidRPr="00D47345" w:rsidRDefault="00480542" w:rsidP="001968DD">
            <w:pPr>
              <w:tabs>
                <w:tab w:val="left" w:pos="8265"/>
              </w:tabs>
              <w:spacing w:after="0" w:line="240" w:lineRule="auto"/>
              <w:rPr>
                <w:rFonts w:cs="Calibri"/>
                <w:b/>
                <w:sz w:val="20"/>
                <w:szCs w:val="20"/>
                <w:lang w:val="nl-NL"/>
              </w:rPr>
            </w:pPr>
          </w:p>
        </w:tc>
      </w:tr>
      <w:tr w:rsidR="00480542" w:rsidRPr="00D47345" w:rsidTr="00B77642">
        <w:tc>
          <w:tcPr>
            <w:tcW w:w="1302" w:type="pct"/>
            <w:tcBorders>
              <w:top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lastRenderedPageBreak/>
              <w:t>Statistieken</w:t>
            </w:r>
          </w:p>
        </w:tc>
        <w:tc>
          <w:tcPr>
            <w:tcW w:w="777" w:type="pct"/>
            <w:gridSpan w:val="2"/>
            <w:tcBorders>
              <w:top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Einddoelen</w:t>
            </w:r>
          </w:p>
        </w:tc>
        <w:tc>
          <w:tcPr>
            <w:tcW w:w="911" w:type="pct"/>
            <w:gridSpan w:val="2"/>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Bestendig</w:t>
            </w:r>
          </w:p>
        </w:tc>
        <w:tc>
          <w:tcPr>
            <w:tcW w:w="1175" w:type="pct"/>
            <w:gridSpan w:val="2"/>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Bestendig, maar niet reproduceerbaar</w:t>
            </w:r>
          </w:p>
        </w:tc>
        <w:tc>
          <w:tcPr>
            <w:tcW w:w="836" w:type="pct"/>
            <w:gridSpan w:val="2"/>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Niet bestendig</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No.</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No.</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No.</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No.</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roofErr w:type="spellStart"/>
            <w:r w:rsidRPr="00D47345">
              <w:rPr>
                <w:rFonts w:cs="Calibri"/>
                <w:sz w:val="20"/>
                <w:szCs w:val="20"/>
                <w:lang w:val="nl-NL"/>
              </w:rPr>
              <w:t>Biomarkers</w:t>
            </w:r>
            <w:proofErr w:type="spellEnd"/>
            <w:r w:rsidRPr="00D47345">
              <w:rPr>
                <w:rFonts w:cs="Calibri"/>
                <w:sz w:val="20"/>
                <w:szCs w:val="20"/>
                <w:lang w:val="nl-NL"/>
              </w:rPr>
              <w:t xml:space="preserve"> en bacteriologie</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(4.5)</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(42.9)</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(100)</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(57.1)</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Verandering in wondconditie</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(9.0)</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(50)</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9</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(64.3)</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(50.0)</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Circulatie</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(1.9)</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(66.7)</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(100)</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(33.3)</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Kosten en gebruik van medische hulpmiddelen</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(4.5)</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(57.1)</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(100)</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(42.9)</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Resultaten van het wondbedekking</w:t>
            </w:r>
            <w:r w:rsidR="006F6DC7" w:rsidRPr="00D47345">
              <w:rPr>
                <w:rFonts w:cs="Calibri"/>
                <w:sz w:val="20"/>
                <w:szCs w:val="20"/>
                <w:lang w:val="nl-NL"/>
              </w:rPr>
              <w:t>s</w:t>
            </w:r>
            <w:r w:rsidRPr="00D47345">
              <w:rPr>
                <w:rFonts w:cs="Calibri"/>
                <w:sz w:val="20"/>
                <w:szCs w:val="20"/>
                <w:lang w:val="nl-NL"/>
              </w:rPr>
              <w:t>materiaal</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22</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(5.8)</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(27.3)</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(66.7)</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16</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(72.7)</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Tekenen van infectie</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(13.2)</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12</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(85.7)</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11</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(91.7)</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(14.3)</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Kwaliteit van Leven</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(24.1)</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(77.8)</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(100.0)</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(22.2)</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Symptomen, tekenen</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41</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(13.2)</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27</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(65.9)</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28</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(103.7)</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(34.1)</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Mate van reductie</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75</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(24.1)</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64</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(85.3)</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40</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(62.5)</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11</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(14.7)</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Wond sluiting</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53</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(16.9)</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45</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(84.9)</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30</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(66.7)</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(15.1)</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Genezingstijd</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(9.0)</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20</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(71.4)</w:t>
            </w: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13</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(65.0)</w:t>
            </w: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8</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(28.6)</w:t>
            </w: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Totaal</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 xml:space="preserve">Totaal </w:t>
            </w:r>
            <w:r w:rsidR="0002440A" w:rsidRPr="00D47345">
              <w:rPr>
                <w:rFonts w:cs="Calibri"/>
                <w:b/>
                <w:sz w:val="20"/>
                <w:szCs w:val="20"/>
                <w:lang w:val="nl-NL"/>
              </w:rPr>
              <w:t xml:space="preserve">uit </w:t>
            </w:r>
            <w:r w:rsidRPr="00D47345">
              <w:rPr>
                <w:rFonts w:cs="Calibri"/>
                <w:b/>
                <w:sz w:val="20"/>
                <w:szCs w:val="20"/>
                <w:lang w:val="nl-NL"/>
              </w:rPr>
              <w:t>de bestendige artikelen</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 xml:space="preserve">Totaal </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r>
      <w:tr w:rsidR="00480542" w:rsidRPr="00D47345" w:rsidTr="00B77642">
        <w:tc>
          <w:tcPr>
            <w:tcW w:w="1302"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Totaal einddoelen</w:t>
            </w:r>
          </w:p>
        </w:tc>
        <w:tc>
          <w:tcPr>
            <w:tcW w:w="391"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313</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(100)</w:t>
            </w: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220</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167</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93</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r>
      <w:tr w:rsidR="00480542" w:rsidRPr="00D47345" w:rsidTr="00B77642">
        <w:tc>
          <w:tcPr>
            <w:tcW w:w="1302" w:type="pct"/>
            <w:tcBorders>
              <w:top w:val="single" w:sz="4" w:space="0" w:color="000000"/>
              <w:bottom w:val="nil"/>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 xml:space="preserve">Totaal aantal artikelen geïncludeerd </w:t>
            </w:r>
          </w:p>
        </w:tc>
        <w:tc>
          <w:tcPr>
            <w:tcW w:w="391" w:type="pct"/>
            <w:tcBorders>
              <w:top w:val="single" w:sz="4" w:space="0" w:color="000000"/>
              <w:bottom w:val="nil"/>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176</w:t>
            </w:r>
          </w:p>
        </w:tc>
        <w:tc>
          <w:tcPr>
            <w:tcW w:w="386" w:type="pct"/>
            <w:tcBorders>
              <w:top w:val="single" w:sz="4" w:space="0" w:color="000000"/>
              <w:bottom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524"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jc w:val="right"/>
              <w:rPr>
                <w:rFonts w:cs="Calibri"/>
                <w:sz w:val="20"/>
                <w:szCs w:val="20"/>
                <w:lang w:val="nl-NL"/>
              </w:rPr>
            </w:pPr>
            <w:r w:rsidRPr="00D47345">
              <w:rPr>
                <w:rFonts w:cs="Calibri"/>
                <w:sz w:val="20"/>
                <w:szCs w:val="20"/>
                <w:lang w:val="nl-NL"/>
              </w:rPr>
              <w:t>70%</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jc w:val="right"/>
              <w:rPr>
                <w:rFonts w:cs="Calibri"/>
                <w:sz w:val="20"/>
                <w:szCs w:val="20"/>
                <w:lang w:val="nl-NL"/>
              </w:rPr>
            </w:pPr>
          </w:p>
        </w:tc>
        <w:tc>
          <w:tcPr>
            <w:tcW w:w="73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jc w:val="right"/>
              <w:rPr>
                <w:rFonts w:cs="Calibri"/>
                <w:sz w:val="20"/>
                <w:szCs w:val="20"/>
                <w:lang w:val="nl-NL"/>
              </w:rPr>
            </w:pPr>
            <w:r w:rsidRPr="00D47345">
              <w:rPr>
                <w:rFonts w:cs="Calibri"/>
                <w:sz w:val="20"/>
                <w:szCs w:val="20"/>
                <w:lang w:val="nl-NL"/>
              </w:rPr>
              <w:t>76%</w:t>
            </w:r>
          </w:p>
        </w:tc>
        <w:tc>
          <w:tcPr>
            <w:tcW w:w="444"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jc w:val="right"/>
              <w:rPr>
                <w:rFonts w:cs="Calibri"/>
                <w:sz w:val="20"/>
                <w:szCs w:val="20"/>
                <w:lang w:val="nl-NL"/>
              </w:rPr>
            </w:pPr>
          </w:p>
        </w:tc>
        <w:tc>
          <w:tcPr>
            <w:tcW w:w="450" w:type="pct"/>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jc w:val="right"/>
              <w:rPr>
                <w:rFonts w:cs="Calibri"/>
                <w:sz w:val="20"/>
                <w:szCs w:val="20"/>
                <w:lang w:val="nl-NL"/>
              </w:rPr>
            </w:pPr>
            <w:r w:rsidRPr="00D47345">
              <w:rPr>
                <w:rFonts w:cs="Calibri"/>
                <w:sz w:val="20"/>
                <w:szCs w:val="20"/>
                <w:lang w:val="nl-NL"/>
              </w:rPr>
              <w:t>30%</w:t>
            </w:r>
          </w:p>
        </w:tc>
        <w:tc>
          <w:tcPr>
            <w:tcW w:w="386" w:type="pct"/>
            <w:tcBorders>
              <w:top w:val="single" w:sz="4" w:space="0" w:color="000000"/>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r>
      <w:tr w:rsidR="00480542" w:rsidRPr="00B73906" w:rsidTr="00FB74C0">
        <w:tc>
          <w:tcPr>
            <w:tcW w:w="5000" w:type="pct"/>
            <w:gridSpan w:val="9"/>
            <w:tcBorders>
              <w:top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mate van bestendigheid wordt beoordeeld aan de hand van of er voor de studie gebruik is gemaakt van een vooraf opgesteld protocol, zodat een tweede partij deze en de gebruikte parameters kan evalueren</w:t>
            </w:r>
            <w:r w:rsidR="0002440A" w:rsidRPr="00D47345">
              <w:rPr>
                <w:rFonts w:cs="Calibri"/>
                <w:sz w:val="20"/>
                <w:szCs w:val="20"/>
                <w:lang w:val="nl-NL"/>
              </w:rPr>
              <w:t>.</w:t>
            </w:r>
            <w:r w:rsidRPr="00D47345">
              <w:rPr>
                <w:rFonts w:cs="Calibri"/>
                <w:color w:val="FF0000"/>
                <w:sz w:val="20"/>
                <w:szCs w:val="20"/>
                <w:lang w:val="nl-NL"/>
              </w:rPr>
              <w:br/>
            </w:r>
            <w:r w:rsidRPr="00D47345">
              <w:rPr>
                <w:rFonts w:cs="Calibri"/>
                <w:sz w:val="20"/>
                <w:szCs w:val="20"/>
                <w:lang w:val="nl-NL"/>
              </w:rPr>
              <w:t xml:space="preserve">Reproduceerbaarheid wordt gewaarborgd door bijvoorbeeld het bijvoegen van fotomateriaal waardoor een tweede partij de parameters gebruikt in de studie kan reproduceren (externe verificatie). </w:t>
            </w:r>
          </w:p>
        </w:tc>
      </w:tr>
    </w:tbl>
    <w:p w:rsidR="00480542" w:rsidRPr="00D47345" w:rsidRDefault="00480542" w:rsidP="00820BD5">
      <w:pPr>
        <w:tabs>
          <w:tab w:val="left" w:pos="8265"/>
        </w:tabs>
        <w:rPr>
          <w:rFonts w:cs="Calibri"/>
          <w:b/>
          <w:sz w:val="20"/>
          <w:szCs w:val="20"/>
          <w:lang w:val="nl-NL"/>
        </w:rPr>
      </w:pPr>
    </w:p>
    <w:p w:rsidR="00480542" w:rsidRPr="00D47345" w:rsidRDefault="00480542" w:rsidP="00820BD5">
      <w:pPr>
        <w:tabs>
          <w:tab w:val="left" w:pos="8265"/>
        </w:tabs>
        <w:rPr>
          <w:rFonts w:cs="Calibri"/>
          <w:b/>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2375"/>
        <w:gridCol w:w="2375"/>
        <w:gridCol w:w="2375"/>
        <w:gridCol w:w="2375"/>
      </w:tblGrid>
      <w:tr w:rsidR="00480542" w:rsidRPr="00D47345" w:rsidTr="00FB74C0">
        <w:tc>
          <w:tcPr>
            <w:tcW w:w="9500" w:type="dxa"/>
            <w:gridSpan w:val="4"/>
            <w:tcBorders>
              <w:top w:val="nil"/>
              <w:bottom w:val="nil"/>
            </w:tcBorders>
            <w:shd w:val="clear" w:color="auto" w:fill="CCC0D9" w:themeFill="accent4" w:themeFillTint="66"/>
          </w:tcPr>
          <w:p w:rsidR="00480542" w:rsidRPr="00B77642" w:rsidRDefault="00480542" w:rsidP="001968DD">
            <w:pPr>
              <w:tabs>
                <w:tab w:val="left" w:pos="8265"/>
              </w:tabs>
              <w:spacing w:after="0" w:line="240" w:lineRule="auto"/>
              <w:rPr>
                <w:rFonts w:cs="Calibri"/>
                <w:b/>
                <w:sz w:val="24"/>
                <w:szCs w:val="24"/>
                <w:lang w:val="nl-NL"/>
              </w:rPr>
            </w:pPr>
            <w:r w:rsidRPr="00B77642">
              <w:rPr>
                <w:rFonts w:cs="Calibri"/>
                <w:b/>
                <w:sz w:val="24"/>
                <w:szCs w:val="24"/>
                <w:lang w:val="nl-NL"/>
              </w:rPr>
              <w:t>Tabel 11.Verschillende economische studiedesigns</w:t>
            </w:r>
          </w:p>
          <w:p w:rsidR="00480542" w:rsidRPr="00D47345" w:rsidRDefault="00480542" w:rsidP="001968DD">
            <w:pPr>
              <w:tabs>
                <w:tab w:val="left" w:pos="8265"/>
              </w:tabs>
              <w:spacing w:after="0" w:line="240" w:lineRule="auto"/>
              <w:rPr>
                <w:rFonts w:cs="Calibri"/>
                <w:b/>
                <w:sz w:val="20"/>
                <w:szCs w:val="20"/>
                <w:lang w:val="nl-NL"/>
              </w:rPr>
            </w:pPr>
          </w:p>
        </w:tc>
      </w:tr>
      <w:tr w:rsidR="00480542" w:rsidRPr="00D47345" w:rsidTr="00FB74C0">
        <w:tc>
          <w:tcPr>
            <w:tcW w:w="2375" w:type="dxa"/>
            <w:tcBorders>
              <w:top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Variabele die gemeten moeten worden</w:t>
            </w:r>
          </w:p>
        </w:tc>
        <w:tc>
          <w:tcPr>
            <w:tcW w:w="7125" w:type="dxa"/>
            <w:gridSpan w:val="3"/>
            <w:tcBorders>
              <w:top w:val="nil"/>
              <w:left w:val="nil"/>
              <w:bottom w:val="single" w:sz="4" w:space="0" w:color="000000"/>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Expliciete vergelijking van alternatieven?</w:t>
            </w:r>
          </w:p>
        </w:tc>
      </w:tr>
      <w:tr w:rsidR="00480542" w:rsidRPr="00D47345" w:rsidTr="00FB74C0">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Nee</w:t>
            </w:r>
          </w:p>
        </w:tc>
        <w:tc>
          <w:tcPr>
            <w:tcW w:w="4750" w:type="dxa"/>
            <w:gridSpan w:val="2"/>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Ja</w:t>
            </w:r>
          </w:p>
        </w:tc>
      </w:tr>
      <w:tr w:rsidR="00480542" w:rsidRPr="00D47345" w:rsidTr="00FB74C0">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2375" w:type="dxa"/>
            <w:tcBorders>
              <w:top w:val="single" w:sz="4" w:space="0" w:color="000000"/>
              <w:left w:val="nil"/>
              <w:bottom w:val="single" w:sz="4" w:space="0" w:color="000000"/>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Type economische studie</w:t>
            </w:r>
          </w:p>
        </w:tc>
        <w:tc>
          <w:tcPr>
            <w:tcW w:w="2375" w:type="dxa"/>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Uitkomstmaten</w:t>
            </w:r>
          </w:p>
        </w:tc>
      </w:tr>
      <w:tr w:rsidR="00480542" w:rsidRPr="00D47345" w:rsidTr="00FB74C0">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Kosten</w:t>
            </w: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Omschrijving van de kosten</w:t>
            </w:r>
          </w:p>
        </w:tc>
        <w:tc>
          <w:tcPr>
            <w:tcW w:w="2375" w:type="dxa"/>
            <w:tcBorders>
              <w:top w:val="single" w:sz="4" w:space="0" w:color="000000"/>
              <w:left w:val="nil"/>
              <w:bottom w:val="single" w:sz="4" w:space="0" w:color="000000"/>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2375" w:type="dxa"/>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r>
      <w:tr w:rsidR="00480542" w:rsidRPr="00D47345" w:rsidTr="00FB74C0">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Uitkomstmaten</w:t>
            </w: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Omschrijving van de uitkomstmaat</w:t>
            </w:r>
          </w:p>
        </w:tc>
        <w:tc>
          <w:tcPr>
            <w:tcW w:w="2375" w:type="dxa"/>
            <w:tcBorders>
              <w:top w:val="single" w:sz="4" w:space="0" w:color="000000"/>
              <w:left w:val="nil"/>
              <w:bottom w:val="single" w:sz="4" w:space="0" w:color="000000"/>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c>
          <w:tcPr>
            <w:tcW w:w="2375" w:type="dxa"/>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
        </w:tc>
      </w:tr>
      <w:tr w:rsidR="00480542" w:rsidRPr="00B73906" w:rsidTr="00FB74C0">
        <w:trPr>
          <w:trHeight w:val="885"/>
        </w:trPr>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Kosten en uitkomstmaten</w:t>
            </w: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Omschrijving van de kosten en uitkomstmaten</w:t>
            </w:r>
          </w:p>
        </w:tc>
        <w:tc>
          <w:tcPr>
            <w:tcW w:w="2375" w:type="dxa"/>
            <w:tcBorders>
              <w:top w:val="single" w:sz="4" w:space="0" w:color="000000"/>
              <w:left w:val="nil"/>
              <w:bottom w:val="single" w:sz="4" w:space="0" w:color="000000"/>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proofErr w:type="spellStart"/>
            <w:r w:rsidRPr="00D47345">
              <w:rPr>
                <w:rFonts w:cs="Calibri"/>
                <w:sz w:val="20"/>
                <w:szCs w:val="20"/>
                <w:lang w:val="nl-NL"/>
              </w:rPr>
              <w:t>Kosten-effectiviteit</w:t>
            </w:r>
            <w:proofErr w:type="spellEnd"/>
            <w:r w:rsidRPr="00D47345">
              <w:rPr>
                <w:rFonts w:cs="Calibri"/>
                <w:sz w:val="20"/>
                <w:szCs w:val="20"/>
                <w:lang w:val="nl-NL"/>
              </w:rPr>
              <w:t xml:space="preserve"> analyse</w:t>
            </w:r>
          </w:p>
        </w:tc>
        <w:tc>
          <w:tcPr>
            <w:tcW w:w="2375" w:type="dxa"/>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Natuurlijk beloop (als de kans op genezing)</w:t>
            </w:r>
          </w:p>
        </w:tc>
      </w:tr>
      <w:tr w:rsidR="00480542" w:rsidRPr="00B73906" w:rsidTr="00FB74C0">
        <w:tc>
          <w:tcPr>
            <w:tcW w:w="2375" w:type="dxa"/>
            <w:tcBorders>
              <w:top w:val="single" w:sz="4" w:space="0" w:color="000000"/>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2375"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p>
        </w:tc>
        <w:tc>
          <w:tcPr>
            <w:tcW w:w="2375" w:type="dxa"/>
            <w:tcBorders>
              <w:top w:val="single" w:sz="4" w:space="0" w:color="000000"/>
              <w:left w:val="nil"/>
              <w:bottom w:val="single" w:sz="4" w:space="0" w:color="000000"/>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Kosten-nut analyse</w:t>
            </w:r>
          </w:p>
        </w:tc>
        <w:tc>
          <w:tcPr>
            <w:tcW w:w="2375" w:type="dxa"/>
            <w:tcBorders>
              <w:top w:val="single" w:sz="4" w:space="0" w:color="000000"/>
              <w:left w:val="nil"/>
              <w:bottom w:val="single" w:sz="4" w:space="0" w:color="000000"/>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Aantal toekomstige levensjaren gecompenseerd voor de mate van kwaliteit (‘</w:t>
            </w:r>
            <w:proofErr w:type="spellStart"/>
            <w:r w:rsidRPr="00D47345">
              <w:rPr>
                <w:rFonts w:cs="Calibri"/>
                <w:sz w:val="20"/>
                <w:szCs w:val="20"/>
                <w:lang w:val="nl-NL"/>
              </w:rPr>
              <w:t>quality-adjusted</w:t>
            </w:r>
            <w:proofErr w:type="spellEnd"/>
            <w:r w:rsidRPr="00D47345">
              <w:rPr>
                <w:rFonts w:cs="Calibri"/>
                <w:sz w:val="20"/>
                <w:szCs w:val="20"/>
                <w:lang w:val="nl-NL"/>
              </w:rPr>
              <w:t xml:space="preserve"> life </w:t>
            </w:r>
            <w:proofErr w:type="spellStart"/>
            <w:r w:rsidRPr="00D47345">
              <w:rPr>
                <w:rFonts w:cs="Calibri"/>
                <w:sz w:val="20"/>
                <w:szCs w:val="20"/>
                <w:lang w:val="nl-NL"/>
              </w:rPr>
              <w:t>years</w:t>
            </w:r>
            <w:proofErr w:type="spellEnd"/>
            <w:r w:rsidRPr="00D47345">
              <w:rPr>
                <w:rFonts w:cs="Calibri"/>
                <w:sz w:val="20"/>
                <w:szCs w:val="20"/>
                <w:lang w:val="nl-NL"/>
              </w:rPr>
              <w:t>’)</w:t>
            </w:r>
          </w:p>
        </w:tc>
      </w:tr>
      <w:tr w:rsidR="00480542" w:rsidRPr="00B73906" w:rsidTr="00FB74C0">
        <w:tc>
          <w:tcPr>
            <w:tcW w:w="2375" w:type="dxa"/>
            <w:tcBorders>
              <w:top w:val="single" w:sz="4" w:space="0" w:color="000000"/>
              <w:bottom w:val="nil"/>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2375" w:type="dxa"/>
            <w:tcBorders>
              <w:top w:val="single" w:sz="4" w:space="0" w:color="000000"/>
              <w:left w:val="nil"/>
              <w:bottom w:val="nil"/>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p>
        </w:tc>
        <w:tc>
          <w:tcPr>
            <w:tcW w:w="2375" w:type="dxa"/>
            <w:tcBorders>
              <w:top w:val="single" w:sz="4" w:space="0" w:color="000000"/>
              <w:left w:val="nil"/>
              <w:bottom w:val="nil"/>
              <w:right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Kosten-baten analyse</w:t>
            </w:r>
          </w:p>
        </w:tc>
        <w:tc>
          <w:tcPr>
            <w:tcW w:w="2375" w:type="dxa"/>
            <w:tcBorders>
              <w:top w:val="single" w:sz="4" w:space="0" w:color="000000"/>
              <w:left w:val="nil"/>
              <w:bottom w:val="nil"/>
            </w:tcBorders>
            <w:shd w:val="clear" w:color="auto" w:fill="E5DFEC" w:themeFill="accent4" w:themeFillTint="33"/>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financiële waarde van de resultaten</w:t>
            </w:r>
          </w:p>
        </w:tc>
      </w:tr>
    </w:tbl>
    <w:p w:rsidR="00480542" w:rsidRPr="00D47345" w:rsidRDefault="00480542" w:rsidP="00820BD5">
      <w:pPr>
        <w:tabs>
          <w:tab w:val="left" w:pos="8265"/>
        </w:tabs>
        <w:rPr>
          <w:rFonts w:cs="Calibri"/>
          <w:b/>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9500"/>
      </w:tblGrid>
      <w:tr w:rsidR="00480542" w:rsidRPr="00B73906" w:rsidTr="00B77642">
        <w:tc>
          <w:tcPr>
            <w:tcW w:w="9500" w:type="dxa"/>
            <w:tcBorders>
              <w:bottom w:val="nil"/>
            </w:tcBorders>
            <w:shd w:val="clear" w:color="auto" w:fill="CCC0D9" w:themeFill="accent4" w:themeFillTint="66"/>
          </w:tcPr>
          <w:p w:rsidR="00480542" w:rsidRPr="00B77642" w:rsidRDefault="00480542" w:rsidP="001968DD">
            <w:pPr>
              <w:tabs>
                <w:tab w:val="left" w:pos="8265"/>
              </w:tabs>
              <w:spacing w:after="0" w:line="360" w:lineRule="auto"/>
              <w:rPr>
                <w:rFonts w:cs="Calibri"/>
                <w:b/>
                <w:sz w:val="24"/>
                <w:szCs w:val="24"/>
                <w:lang w:val="nl-NL"/>
              </w:rPr>
            </w:pPr>
            <w:r w:rsidRPr="00B77642">
              <w:rPr>
                <w:rFonts w:cs="Calibri"/>
                <w:b/>
                <w:sz w:val="24"/>
                <w:szCs w:val="24"/>
                <w:lang w:val="nl-NL"/>
              </w:rPr>
              <w:t>Tabel 12. Belangrijke medisch hulpmiddelen in het kader van wond studies</w:t>
            </w:r>
          </w:p>
        </w:tc>
      </w:tr>
      <w:tr w:rsidR="00480542" w:rsidRPr="00D47345" w:rsidTr="00B77642">
        <w:tc>
          <w:tcPr>
            <w:tcW w:w="9500"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Patiënt en wond gerelateerd</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Tijdsduur bij de clinicus</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 xml:space="preserve">Kosten van de faciliteiten (bijvoorbeeld per poliklinisch bezoek) </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Diagnostische testen (als een röntgenfoto)</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Laboratoriumtesten (zoals microbiologisch onderzoek)</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proofErr w:type="spellStart"/>
            <w:r w:rsidRPr="00D47345">
              <w:rPr>
                <w:rFonts w:cs="Calibri"/>
                <w:sz w:val="20"/>
                <w:szCs w:val="20"/>
                <w:lang w:val="nl-NL"/>
              </w:rPr>
              <w:t>Wondbekking</w:t>
            </w:r>
            <w:r w:rsidR="0002440A" w:rsidRPr="00D47345">
              <w:rPr>
                <w:rFonts w:cs="Calibri"/>
                <w:sz w:val="20"/>
                <w:szCs w:val="20"/>
                <w:lang w:val="nl-NL"/>
              </w:rPr>
              <w:t>s</w:t>
            </w:r>
            <w:r w:rsidRPr="00D47345">
              <w:rPr>
                <w:rFonts w:cs="Calibri"/>
                <w:sz w:val="20"/>
                <w:szCs w:val="20"/>
                <w:lang w:val="nl-NL"/>
              </w:rPr>
              <w:t>materialen</w:t>
            </w:r>
            <w:proofErr w:type="spellEnd"/>
            <w:r w:rsidRPr="00D47345">
              <w:rPr>
                <w:rFonts w:cs="Calibri"/>
                <w:sz w:val="20"/>
                <w:szCs w:val="20"/>
                <w:lang w:val="nl-NL"/>
              </w:rPr>
              <w:t>, medicijnen en andere wegwerpproducten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Reistijd van de patiënt en verzorger **</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Extra kosten die de patiënt maakt **</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verloren werktijd van de patiënt/verzorger **</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vAlign w:val="bottom"/>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Gerelateerd aan wondbehandeling</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Tijd die een clinicus nodig heeft om de wond zorg materialen te verwisselen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Kosten van de faciliteit (klinisch of poliklinisch)</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Reistijd voor de clinicus (naar het huis van de patiënt)</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proofErr w:type="spellStart"/>
            <w:r w:rsidRPr="00D47345">
              <w:rPr>
                <w:rFonts w:cs="Calibri"/>
                <w:sz w:val="20"/>
                <w:szCs w:val="20"/>
                <w:lang w:val="nl-NL"/>
              </w:rPr>
              <w:t>Wondbekking</w:t>
            </w:r>
            <w:r w:rsidR="0002440A" w:rsidRPr="00D47345">
              <w:rPr>
                <w:rFonts w:cs="Calibri"/>
                <w:sz w:val="20"/>
                <w:szCs w:val="20"/>
                <w:lang w:val="nl-NL"/>
              </w:rPr>
              <w:t>s</w:t>
            </w:r>
            <w:r w:rsidRPr="00D47345">
              <w:rPr>
                <w:rFonts w:cs="Calibri"/>
                <w:sz w:val="20"/>
                <w:szCs w:val="20"/>
                <w:lang w:val="nl-NL"/>
              </w:rPr>
              <w:t>materialen</w:t>
            </w:r>
            <w:proofErr w:type="spellEnd"/>
            <w:r w:rsidRPr="00D47345">
              <w:rPr>
                <w:rFonts w:cs="Calibri"/>
                <w:sz w:val="20"/>
                <w:szCs w:val="20"/>
                <w:lang w:val="nl-NL"/>
              </w:rPr>
              <w:t>, medicijnen en andere wegwerpproducten</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Antibiotica</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Diagnostische- en laboratoriumtesten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Speciale benodigdheden (zoals orthopedische zolen)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Reistijd van de patiënt en verzorger**</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Extra kosten die de patiënt maakt**</w:t>
            </w:r>
          </w:p>
        </w:tc>
      </w:tr>
      <w:tr w:rsidR="00480542" w:rsidRPr="00B73906" w:rsidTr="00B77642">
        <w:tc>
          <w:tcPr>
            <w:tcW w:w="9500" w:type="dxa"/>
            <w:tcBorders>
              <w:top w:val="single" w:sz="4" w:space="0" w:color="000000"/>
              <w:bottom w:val="nil"/>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verloren werktijd van de patiënt/verzorger**</w:t>
            </w:r>
          </w:p>
        </w:tc>
      </w:tr>
      <w:tr w:rsidR="00480542" w:rsidRPr="00B73906" w:rsidTr="00B77642">
        <w:tc>
          <w:tcPr>
            <w:tcW w:w="9500" w:type="dxa"/>
            <w:tcBorders>
              <w:top w:val="nil"/>
              <w:bottom w:val="single" w:sz="4" w:space="0" w:color="000000"/>
            </w:tcBorders>
            <w:shd w:val="clear" w:color="auto" w:fill="CCC0D9" w:themeFill="accent4" w:themeFillTint="66"/>
          </w:tcPr>
          <w:p w:rsidR="00480542" w:rsidRPr="00D47345" w:rsidRDefault="00480542" w:rsidP="001968DD">
            <w:pPr>
              <w:tabs>
                <w:tab w:val="left" w:pos="8265"/>
              </w:tabs>
              <w:spacing w:before="120" w:after="0" w:line="240" w:lineRule="auto"/>
              <w:rPr>
                <w:rFonts w:cs="Calibri"/>
                <w:b/>
                <w:sz w:val="20"/>
                <w:szCs w:val="20"/>
                <w:lang w:val="nl-NL"/>
              </w:rPr>
            </w:pPr>
            <w:r w:rsidRPr="00D47345">
              <w:rPr>
                <w:rFonts w:cs="Calibri"/>
                <w:b/>
                <w:sz w:val="20"/>
                <w:szCs w:val="20"/>
                <w:lang w:val="nl-NL"/>
              </w:rPr>
              <w:t>Kosten verbonden aan intramurale zorg</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Aantal opname dagen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proofErr w:type="spellStart"/>
            <w:r w:rsidRPr="00D47345">
              <w:rPr>
                <w:rFonts w:cs="Calibri"/>
                <w:sz w:val="20"/>
                <w:szCs w:val="20"/>
                <w:lang w:val="nl-NL"/>
              </w:rPr>
              <w:t>Wondbekking</w:t>
            </w:r>
            <w:r w:rsidR="0002440A" w:rsidRPr="00D47345">
              <w:rPr>
                <w:rFonts w:cs="Calibri"/>
                <w:sz w:val="20"/>
                <w:szCs w:val="20"/>
                <w:lang w:val="nl-NL"/>
              </w:rPr>
              <w:t>s</w:t>
            </w:r>
            <w:r w:rsidRPr="00D47345">
              <w:rPr>
                <w:rFonts w:cs="Calibri"/>
                <w:sz w:val="20"/>
                <w:szCs w:val="20"/>
                <w:lang w:val="nl-NL"/>
              </w:rPr>
              <w:t>materialen</w:t>
            </w:r>
            <w:proofErr w:type="spellEnd"/>
            <w:r w:rsidRPr="00D47345">
              <w:rPr>
                <w:rFonts w:cs="Calibri"/>
                <w:sz w:val="20"/>
                <w:szCs w:val="20"/>
                <w:lang w:val="nl-NL"/>
              </w:rPr>
              <w:t>, medicijnen en andere wegwerpproducten</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Antibiotica</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Diagnostische- en laboratoriumtesten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Chirurgische procedures (tijdsduur van de procedure, tijd die het de clinicus kost, gebruik van wegwerpproducten)</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Kosten van de nazorg</w:t>
            </w:r>
          </w:p>
        </w:tc>
      </w:tr>
      <w:tr w:rsidR="00480542" w:rsidRPr="00D47345"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Aantal poliklinische controle afspraken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Speciale benodigdheden (zoals orthopedische zolen)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lastRenderedPageBreak/>
              <w:t>Extra kosten die de patiënt maakt**</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verloren werktijd van de patiënt/verzorger**</w:t>
            </w:r>
          </w:p>
        </w:tc>
      </w:tr>
      <w:tr w:rsidR="00480542" w:rsidRPr="00B73906" w:rsidTr="00FB74C0">
        <w:tc>
          <w:tcPr>
            <w:tcW w:w="9500" w:type="dxa"/>
            <w:tcBorders>
              <w:top w:val="single" w:sz="4" w:space="0" w:color="000000"/>
            </w:tcBorders>
            <w:shd w:val="clear" w:color="auto" w:fill="CCC0D9" w:themeFill="accent4" w:themeFillTint="66"/>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 afhankelijk van het perspectief van waaruit het onderzoek wordt uitgevoerd (kosten voor de patiënt/clinicus, sociale kosten)</w:t>
            </w:r>
          </w:p>
        </w:tc>
      </w:tr>
    </w:tbl>
    <w:p w:rsidR="00480542" w:rsidRPr="00D47345" w:rsidRDefault="00480542" w:rsidP="00820BD5">
      <w:pPr>
        <w:tabs>
          <w:tab w:val="left" w:pos="8265"/>
        </w:tabs>
        <w:rPr>
          <w:rFonts w:cs="Calibri"/>
          <w:b/>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6487"/>
      </w:tblGrid>
      <w:tr w:rsidR="00480542" w:rsidRPr="00B73906" w:rsidTr="00FB74C0">
        <w:tc>
          <w:tcPr>
            <w:tcW w:w="6487" w:type="dxa"/>
            <w:tcBorders>
              <w:top w:val="nil"/>
              <w:left w:val="nil"/>
              <w:bottom w:val="nil"/>
              <w:right w:val="nil"/>
            </w:tcBorders>
            <w:shd w:val="clear" w:color="auto" w:fill="CCC0D9" w:themeFill="accent4" w:themeFillTint="66"/>
          </w:tcPr>
          <w:p w:rsidR="00480542" w:rsidRPr="00B77642" w:rsidRDefault="00B77642" w:rsidP="00B77642">
            <w:pPr>
              <w:tabs>
                <w:tab w:val="left" w:pos="8265"/>
              </w:tabs>
              <w:spacing w:after="0" w:line="240" w:lineRule="auto"/>
              <w:rPr>
                <w:rFonts w:cs="Calibri"/>
                <w:b/>
                <w:sz w:val="24"/>
                <w:szCs w:val="24"/>
                <w:lang w:val="nl-NL"/>
              </w:rPr>
            </w:pPr>
            <w:r>
              <w:rPr>
                <w:rFonts w:cs="Calibri"/>
                <w:b/>
                <w:sz w:val="24"/>
                <w:szCs w:val="24"/>
                <w:lang w:val="nl-NL"/>
              </w:rPr>
              <w:t>Tabel 13. Een</w:t>
            </w:r>
            <w:r w:rsidR="00480542" w:rsidRPr="00B77642">
              <w:rPr>
                <w:rFonts w:cs="Calibri"/>
                <w:b/>
                <w:sz w:val="24"/>
                <w:szCs w:val="24"/>
                <w:lang w:val="nl-NL"/>
              </w:rPr>
              <w:t xml:space="preserve"> </w:t>
            </w:r>
            <w:r>
              <w:rPr>
                <w:rFonts w:cs="Calibri"/>
                <w:b/>
                <w:sz w:val="24"/>
                <w:szCs w:val="24"/>
                <w:lang w:val="nl-NL"/>
              </w:rPr>
              <w:t>c</w:t>
            </w:r>
            <w:r w:rsidR="00480542" w:rsidRPr="00B77642">
              <w:rPr>
                <w:rFonts w:cs="Calibri"/>
                <w:b/>
                <w:sz w:val="24"/>
                <w:szCs w:val="24"/>
                <w:lang w:val="nl-NL"/>
              </w:rPr>
              <w:t>hecklist voor een economisch studiedesign</w:t>
            </w:r>
          </w:p>
        </w:tc>
      </w:tr>
      <w:tr w:rsidR="00480542" w:rsidRPr="00B73906" w:rsidTr="00FB74C0">
        <w:tc>
          <w:tcPr>
            <w:tcW w:w="6487" w:type="dxa"/>
            <w:tcBorders>
              <w:top w:val="nil"/>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Bevat de studie een expliciete vergelijking van </w:t>
            </w:r>
            <w:r w:rsidR="0002440A" w:rsidRPr="00D47345">
              <w:rPr>
                <w:rFonts w:cs="Calibri"/>
                <w:sz w:val="20"/>
                <w:szCs w:val="20"/>
                <w:lang w:val="nl-NL"/>
              </w:rPr>
              <w:t xml:space="preserve">de kosten en uitkomsten van ten </w:t>
            </w:r>
            <w:r w:rsidRPr="00D47345">
              <w:rPr>
                <w:rFonts w:cs="Calibri"/>
                <w:sz w:val="20"/>
                <w:szCs w:val="20"/>
                <w:lang w:val="nl-NL"/>
              </w:rPr>
              <w:t>minste twee alternatieve interventies?</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Is het vergelijkingsmateriaal relevant voor de beslissing die genomen dient te worden (is bijvoorbeeld de vergelijkende interventie representatief voor de normale dagelijkse kliniek)?</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Is het perspectief van waaruit het onderzoek wordt uitgevoerd helder en is dit een relevante invalshoek voor de beslissing?</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Zijn alle details van het</w:t>
            </w:r>
            <w:r w:rsidR="0002440A" w:rsidRPr="00D47345">
              <w:rPr>
                <w:rFonts w:cs="Calibri"/>
                <w:sz w:val="20"/>
                <w:szCs w:val="20"/>
                <w:lang w:val="nl-NL"/>
              </w:rPr>
              <w:t xml:space="preserve"> </w:t>
            </w:r>
            <w:r w:rsidRPr="00D47345">
              <w:rPr>
                <w:rFonts w:cs="Calibri"/>
                <w:sz w:val="20"/>
                <w:szCs w:val="20"/>
                <w:lang w:val="nl-NL"/>
              </w:rPr>
              <w:t>studiedesign consistent met het gekozen perspectief, zoals welke kosten en resultaten worden geïncludeerd?</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Worden de kosten en resultaten gemeten gedurende een voldoende lange episode, zodat alle belangrijke gevolgen van de nieuwe interventie aan het licht komen?</w:t>
            </w:r>
          </w:p>
        </w:tc>
      </w:tr>
      <w:tr w:rsidR="00480542" w:rsidRPr="00D47345"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Wordt het kwantitatieve gebruik van medische hulpmiddelen apart weergegeven van de kosten dit gebruik? Zijn alle relevante hulmiddelen bij de analyse betrokken?</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Zijn de medische hulpmiddelen op gepaste wijze op waarde geschat, geven bijvoorbeeld de prijzen ook adequaat de kosten per gebruik weer?</w:t>
            </w:r>
          </w:p>
        </w:tc>
      </w:tr>
      <w:tr w:rsidR="00480542" w:rsidRPr="00D47345"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Zijn de uitkomstmaten van de nieuwe interventie goed gedefinieerd en gemeten? Zijn de uitkomstmaten kozen voor de vergelijking van de alternatieven ook klinisch relevant? Worden alle relevante uitkomstmaten in de studie meegenomen?</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Is het type economische studie (</w:t>
            </w:r>
            <w:proofErr w:type="spellStart"/>
            <w:r w:rsidRPr="00D47345">
              <w:rPr>
                <w:rFonts w:cs="Calibri"/>
                <w:sz w:val="20"/>
                <w:szCs w:val="20"/>
                <w:lang w:val="nl-NL"/>
              </w:rPr>
              <w:t>kosten-effectiviteit</w:t>
            </w:r>
            <w:proofErr w:type="spellEnd"/>
            <w:r w:rsidRPr="00D47345">
              <w:rPr>
                <w:rFonts w:cs="Calibri"/>
                <w:sz w:val="20"/>
                <w:szCs w:val="20"/>
                <w:lang w:val="nl-NL"/>
              </w:rPr>
              <w:t xml:space="preserve"> analyse, kosten-nut analyse of kosten-baten analyse) passend bij de beslissing die genomen moet worden?</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Worden de alternatieven vergeleken in termen van de toename in kosten per eenheid of uitkomstmaat vergaard?</w:t>
            </w:r>
          </w:p>
        </w:tc>
      </w:tr>
      <w:tr w:rsidR="00480542" w:rsidRPr="00B73906" w:rsidTr="00FB74C0">
        <w:tc>
          <w:tcPr>
            <w:tcW w:w="6487" w:type="dxa"/>
            <w:tcBorders>
              <w:top w:val="single" w:sz="4" w:space="0" w:color="000000"/>
              <w:left w:val="nil"/>
              <w:bottom w:val="single" w:sz="4" w:space="0" w:color="000000"/>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Worden de onzekerheden van het onderzoek adequaat vermeld in de analyse en in de interpretatie van de resultaten?</w:t>
            </w:r>
          </w:p>
        </w:tc>
      </w:tr>
      <w:tr w:rsidR="00480542" w:rsidRPr="00B73906" w:rsidTr="00FB74C0">
        <w:tc>
          <w:tcPr>
            <w:tcW w:w="6487" w:type="dxa"/>
            <w:tcBorders>
              <w:top w:val="single" w:sz="4" w:space="0" w:color="000000"/>
              <w:left w:val="nil"/>
              <w:bottom w:val="nil"/>
              <w:right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Klopt de interpretatie van de resultaten met het onderzoek, worden bijvoorbeeld alle relevante uitkomsten besproken?</w:t>
            </w:r>
          </w:p>
        </w:tc>
      </w:tr>
    </w:tbl>
    <w:p w:rsidR="00480542" w:rsidRPr="00D47345" w:rsidRDefault="00480542" w:rsidP="00820BD5">
      <w:pPr>
        <w:tabs>
          <w:tab w:val="left" w:pos="8265"/>
        </w:tabs>
        <w:rPr>
          <w:rFonts w:cs="Calibri"/>
          <w:b/>
          <w:sz w:val="20"/>
          <w:szCs w:val="20"/>
          <w:lang w:val="nl-NL"/>
        </w:rPr>
      </w:pPr>
      <w:r w:rsidRPr="00D47345">
        <w:rPr>
          <w:rFonts w:cs="Calibri"/>
          <w:sz w:val="20"/>
          <w:szCs w:val="20"/>
          <w:lang w:val="nl-NL"/>
        </w:rPr>
        <w:br/>
      </w:r>
      <w:r w:rsidRPr="00D47345">
        <w:rPr>
          <w:rFonts w:cs="Calibri"/>
          <w:b/>
          <w:sz w:val="20"/>
          <w:szCs w:val="20"/>
          <w:lang w:val="nl-NL"/>
        </w:rPr>
        <w:br/>
      </w:r>
    </w:p>
    <w:tbl>
      <w:tblPr>
        <w:tblW w:w="0" w:type="auto"/>
        <w:tblBorders>
          <w:top w:val="single" w:sz="4" w:space="0" w:color="000000"/>
          <w:bottom w:val="single" w:sz="4" w:space="0" w:color="000000"/>
          <w:insideH w:val="single" w:sz="4" w:space="0" w:color="auto"/>
        </w:tblBorders>
        <w:shd w:val="clear" w:color="auto" w:fill="CCC0D9" w:themeFill="accent4" w:themeFillTint="66"/>
        <w:tblLook w:val="00A0" w:firstRow="1" w:lastRow="0" w:firstColumn="1" w:lastColumn="0" w:noHBand="0" w:noVBand="0"/>
      </w:tblPr>
      <w:tblGrid>
        <w:gridCol w:w="3166"/>
        <w:gridCol w:w="3167"/>
        <w:gridCol w:w="3167"/>
      </w:tblGrid>
      <w:tr w:rsidR="00480542" w:rsidRPr="00B73906" w:rsidTr="00FB74C0">
        <w:tc>
          <w:tcPr>
            <w:tcW w:w="9500" w:type="dxa"/>
            <w:gridSpan w:val="3"/>
            <w:tcBorders>
              <w:top w:val="nil"/>
              <w:bottom w:val="nil"/>
            </w:tcBorders>
            <w:shd w:val="clear" w:color="auto" w:fill="CCC0D9" w:themeFill="accent4" w:themeFillTint="66"/>
          </w:tcPr>
          <w:p w:rsidR="00480542" w:rsidRPr="00B77642" w:rsidRDefault="00480542" w:rsidP="001968DD">
            <w:pPr>
              <w:tabs>
                <w:tab w:val="left" w:pos="8265"/>
              </w:tabs>
              <w:spacing w:after="0" w:line="240" w:lineRule="auto"/>
              <w:rPr>
                <w:rFonts w:cs="Calibri"/>
                <w:b/>
                <w:sz w:val="24"/>
                <w:szCs w:val="24"/>
                <w:lang w:val="nl-NL"/>
              </w:rPr>
            </w:pPr>
            <w:r w:rsidRPr="00B77642">
              <w:rPr>
                <w:rFonts w:cs="Calibri"/>
                <w:b/>
                <w:sz w:val="24"/>
                <w:szCs w:val="24"/>
                <w:lang w:val="nl-NL"/>
              </w:rPr>
              <w:t xml:space="preserve">Tabel 14. </w:t>
            </w:r>
            <w:r w:rsidR="0002440A" w:rsidRPr="00B77642">
              <w:rPr>
                <w:rFonts w:cs="Calibri"/>
                <w:b/>
                <w:sz w:val="24"/>
                <w:szCs w:val="24"/>
                <w:lang w:val="nl-NL"/>
              </w:rPr>
              <w:t>Potentiële</w:t>
            </w:r>
            <w:r w:rsidRPr="00B77642">
              <w:rPr>
                <w:rFonts w:cs="Calibri"/>
                <w:b/>
                <w:sz w:val="24"/>
                <w:szCs w:val="24"/>
                <w:lang w:val="nl-NL"/>
              </w:rPr>
              <w:t xml:space="preserve"> oorzaken van </w:t>
            </w:r>
            <w:r w:rsidR="009048D1">
              <w:rPr>
                <w:rFonts w:cs="Calibri"/>
                <w:b/>
                <w:sz w:val="24"/>
                <w:szCs w:val="24"/>
                <w:lang w:val="nl-NL"/>
              </w:rPr>
              <w:t>vertekening (‘</w:t>
            </w:r>
            <w:r w:rsidRPr="00B77642">
              <w:rPr>
                <w:rFonts w:cs="Calibri"/>
                <w:b/>
                <w:sz w:val="24"/>
                <w:szCs w:val="24"/>
                <w:lang w:val="nl-NL"/>
              </w:rPr>
              <w:t>bias</w:t>
            </w:r>
            <w:r w:rsidR="009048D1">
              <w:rPr>
                <w:rFonts w:cs="Calibri"/>
                <w:b/>
                <w:sz w:val="24"/>
                <w:szCs w:val="24"/>
                <w:lang w:val="nl-NL"/>
              </w:rPr>
              <w:t>’)</w:t>
            </w:r>
          </w:p>
        </w:tc>
      </w:tr>
      <w:tr w:rsidR="00480542" w:rsidRPr="00B77642" w:rsidTr="00FB74C0">
        <w:tc>
          <w:tcPr>
            <w:tcW w:w="3166" w:type="dxa"/>
            <w:tcBorders>
              <w:top w:val="nil"/>
              <w:bottom w:val="single" w:sz="4" w:space="0" w:color="auto"/>
            </w:tcBorders>
            <w:shd w:val="clear" w:color="auto" w:fill="CCC0D9" w:themeFill="accent4" w:themeFillTint="66"/>
          </w:tcPr>
          <w:p w:rsidR="00480542" w:rsidRPr="00D47345" w:rsidRDefault="00B77642" w:rsidP="001968DD">
            <w:pPr>
              <w:tabs>
                <w:tab w:val="left" w:pos="8265"/>
              </w:tabs>
              <w:spacing w:after="0" w:line="240" w:lineRule="auto"/>
              <w:rPr>
                <w:rFonts w:cs="Calibri"/>
                <w:b/>
                <w:sz w:val="20"/>
                <w:szCs w:val="20"/>
                <w:lang w:val="nl-NL"/>
              </w:rPr>
            </w:pPr>
            <w:r>
              <w:rPr>
                <w:rFonts w:cs="Calibri"/>
                <w:b/>
                <w:sz w:val="20"/>
                <w:szCs w:val="20"/>
                <w:lang w:val="nl-NL"/>
              </w:rPr>
              <w:br/>
            </w:r>
            <w:r w:rsidR="00480542" w:rsidRPr="00D47345">
              <w:rPr>
                <w:rFonts w:cs="Calibri"/>
                <w:b/>
                <w:sz w:val="20"/>
                <w:szCs w:val="20"/>
                <w:lang w:val="nl-NL"/>
              </w:rPr>
              <w:t>Type bias (oorzakelijk)</w:t>
            </w:r>
          </w:p>
        </w:tc>
        <w:tc>
          <w:tcPr>
            <w:tcW w:w="3167" w:type="dxa"/>
            <w:tcBorders>
              <w:top w:val="nil"/>
              <w:bottom w:val="single" w:sz="4" w:space="0" w:color="auto"/>
            </w:tcBorders>
            <w:shd w:val="clear" w:color="auto" w:fill="CCC0D9" w:themeFill="accent4" w:themeFillTint="66"/>
          </w:tcPr>
          <w:p w:rsidR="00B77642" w:rsidRDefault="00B77642" w:rsidP="001968DD">
            <w:pPr>
              <w:tabs>
                <w:tab w:val="left" w:pos="8265"/>
              </w:tabs>
              <w:spacing w:after="0" w:line="240" w:lineRule="auto"/>
              <w:rPr>
                <w:rFonts w:cs="Calibri"/>
                <w:b/>
                <w:sz w:val="20"/>
                <w:szCs w:val="20"/>
                <w:lang w:val="nl-NL"/>
              </w:rPr>
            </w:pPr>
          </w:p>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Oplossing in de praktijk</w:t>
            </w:r>
          </w:p>
        </w:tc>
        <w:tc>
          <w:tcPr>
            <w:tcW w:w="3167" w:type="dxa"/>
            <w:tcBorders>
              <w:top w:val="nil"/>
              <w:bottom w:val="single" w:sz="4" w:space="0" w:color="auto"/>
            </w:tcBorders>
            <w:shd w:val="clear" w:color="auto" w:fill="CCC0D9" w:themeFill="accent4" w:themeFillTint="66"/>
          </w:tcPr>
          <w:p w:rsidR="00B77642" w:rsidRDefault="00B77642" w:rsidP="001968DD">
            <w:pPr>
              <w:tabs>
                <w:tab w:val="left" w:pos="8265"/>
              </w:tabs>
              <w:spacing w:after="0" w:line="240" w:lineRule="auto"/>
              <w:rPr>
                <w:rFonts w:cs="Calibri"/>
                <w:b/>
                <w:sz w:val="20"/>
                <w:szCs w:val="20"/>
                <w:lang w:val="nl-NL"/>
              </w:rPr>
            </w:pPr>
          </w:p>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Toepassing bij wond management</w:t>
            </w:r>
          </w:p>
        </w:tc>
      </w:tr>
      <w:tr w:rsidR="00480542" w:rsidRPr="00B77642" w:rsidTr="00FB74C0">
        <w:tc>
          <w:tcPr>
            <w:tcW w:w="3166" w:type="dxa"/>
            <w:tcBorders>
              <w:top w:val="single" w:sz="4" w:space="0" w:color="auto"/>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Selectie bias</w:t>
            </w:r>
          </w:p>
        </w:tc>
        <w:tc>
          <w:tcPr>
            <w:tcW w:w="3167" w:type="dxa"/>
            <w:tcBorders>
              <w:top w:val="single" w:sz="4" w:space="0" w:color="auto"/>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single" w:sz="4" w:space="0" w:color="auto"/>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(Alle patiënten die in aanmerking komen voor het onderzoek dienen dezelfde kans op het krijgen van de </w:t>
            </w:r>
            <w:r w:rsidRPr="00D47345">
              <w:rPr>
                <w:rFonts w:cs="Calibri"/>
                <w:sz w:val="20"/>
                <w:szCs w:val="20"/>
                <w:lang w:val="nl-NL"/>
              </w:rPr>
              <w:lastRenderedPageBreak/>
              <w:t>interventie te hebben. Beide groepen zijn qua baseline karakteristieken gelijk)</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lastRenderedPageBreak/>
              <w:t>Willekeurige en geblindeerde toewijzing van de interventie</w:t>
            </w:r>
          </w:p>
          <w:p w:rsidR="00480542" w:rsidRPr="00D47345" w:rsidRDefault="00480542" w:rsidP="001968DD">
            <w:pPr>
              <w:tabs>
                <w:tab w:val="left" w:pos="8265"/>
              </w:tabs>
              <w:spacing w:after="0" w:line="240" w:lineRule="auto"/>
              <w:rPr>
                <w:rFonts w:cs="Calibri"/>
                <w:sz w:val="20"/>
                <w:szCs w:val="20"/>
                <w:lang w:val="nl-NL"/>
              </w:rPr>
            </w:pP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Er zijn geen specifieke aandachtspunten voor wond management studies, ook bij deze </w:t>
            </w:r>
            <w:r w:rsidRPr="00D47345">
              <w:rPr>
                <w:rFonts w:cs="Calibri"/>
                <w:sz w:val="20"/>
                <w:szCs w:val="20"/>
                <w:lang w:val="nl-NL"/>
              </w:rPr>
              <w:lastRenderedPageBreak/>
              <w:t xml:space="preserve">studies moet er alles aan gedaan worden om geïncludeerde patiënten random in een groep in te delen. </w:t>
            </w:r>
          </w:p>
          <w:p w:rsidR="00480542" w:rsidRPr="00D47345" w:rsidRDefault="00480542" w:rsidP="001968DD">
            <w:pPr>
              <w:tabs>
                <w:tab w:val="left" w:pos="8265"/>
              </w:tabs>
              <w:spacing w:after="0" w:line="240" w:lineRule="auto"/>
              <w:rPr>
                <w:rFonts w:cs="Calibri"/>
                <w:sz w:val="20"/>
                <w:szCs w:val="20"/>
                <w:lang w:val="nl-NL"/>
              </w:rPr>
            </w:pPr>
          </w:p>
        </w:tc>
      </w:tr>
      <w:tr w:rsidR="00480542" w:rsidRPr="00D47345" w:rsidTr="00FB74C0">
        <w:tc>
          <w:tcPr>
            <w:tcW w:w="3166"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lastRenderedPageBreak/>
              <w:t>Therapie-b</w:t>
            </w:r>
            <w:bookmarkStart w:id="0" w:name="_GoBack"/>
            <w:r w:rsidRPr="00D47345">
              <w:rPr>
                <w:rFonts w:cs="Calibri"/>
                <w:b/>
                <w:sz w:val="20"/>
                <w:szCs w:val="20"/>
                <w:lang w:val="nl-NL"/>
              </w:rPr>
              <w:t>ias</w:t>
            </w:r>
            <w:bookmarkEnd w:id="0"/>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(Alle geïncludeerde patiënten dienen precies dezelfde therapie te krijgen, met als enige uitzondering het verschil veroorzaakt door de interventie)</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Deelnemende patiënten weten niet wat ze als therapie ontvangen (geblindeerd).</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Clinici (die de interventie toepassen) zijn ook geblindeerd. </w:t>
            </w:r>
          </w:p>
          <w:p w:rsidR="00480542" w:rsidRPr="00D47345" w:rsidRDefault="00480542" w:rsidP="001968DD">
            <w:pPr>
              <w:tabs>
                <w:tab w:val="left" w:pos="8265"/>
              </w:tabs>
              <w:spacing w:after="0" w:line="240" w:lineRule="auto"/>
              <w:rPr>
                <w:rFonts w:cs="Calibri"/>
                <w:sz w:val="20"/>
                <w:szCs w:val="20"/>
                <w:lang w:val="nl-NL"/>
              </w:rPr>
            </w:pP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details van een standaard behandeling moeten duidelijk worden gemaakt. Hoewel het wellicht moeilijk waar te maken is hoort bij een RCT een zo hoog mogelijk niveau van blindering gehandhaafd te worden. Een dubbel blinde studie uitvoering is vaak te lastig, maar enkelvoudig geblindeerde (of onafhankelijke) evaluatie van de uitkomsten is een verplichting (zeker als de studie niet geblindeerd is). Gestreefd dient te worden naar een geblindeerde analyse van de gegevens.</w:t>
            </w:r>
          </w:p>
        </w:tc>
      </w:tr>
      <w:tr w:rsidR="00480542" w:rsidRPr="00B73906" w:rsidTr="00FB74C0">
        <w:tc>
          <w:tcPr>
            <w:tcW w:w="3166"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Bias door verval in de tijd</w:t>
            </w: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(Er horen geen verschillen te zijn tussen beide groepen wat betreft het aantal patiënten die uit de studie vallen of de karakteristieken van patiënten die uitvallen vergeleken met de karakteristieken van patiënten die geïncludeerd blijven)</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Alle groepen worden even lang vervolgd</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Het aantal uitvallers is in beide groepen niet hoog</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Beide groepen dienen een gelijkwaardig aantal overgebleven patiënten voor de analyse te hebben (en tevens moet dit gelijkwaardig zijn aan de baseline)</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Wondstudies hebben, door de kenmerken van de doelgroep, vaak een hoog gehalte aan uitvallers tijdens de studie. Deze gegevens dienen gerapporteerd te worden. </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Door het gebruik van voorbereidende (‘run-in’) periode om de veranderingen in wondstatus in kaart te brengen kan de homogeniteit van de groepen verhoogd worden en het aantal uitvallers verminderd. Studies met lange interventie periodes dienen bij het rekruteren van deelnemers rekening te houden met een potentieel aantal uitvallers. </w:t>
            </w:r>
          </w:p>
        </w:tc>
      </w:tr>
      <w:tr w:rsidR="00480542" w:rsidRPr="00D47345" w:rsidTr="00FB74C0">
        <w:tc>
          <w:tcPr>
            <w:tcW w:w="3166"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Detectie bias</w:t>
            </w: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uitkomstmaten moeten objectief [en met de mogelijkheid tot herhaling] meetbaar zijn of de onderzoekers moeten geblindeerd zijn voor de gegeven therapie)</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Uitkomstmaten worden precies gedefinieerd</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Valide en betrouwbare methode om de resultaten te meten zijn voorhanden</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lengte van de follow-up is voldoende om de resultaten in kaart te brengen</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Onderzoekers (die de uitkomstmaten onderzoeken) zijn geblindeerd voor de initiële toegepaste therapie </w:t>
            </w: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Onderzoekers zijn geblindeerd voor </w:t>
            </w:r>
            <w:r w:rsidRPr="00D47345">
              <w:rPr>
                <w:rFonts w:cs="Calibri"/>
                <w:sz w:val="20"/>
                <w:szCs w:val="20"/>
                <w:lang w:val="nl-NL"/>
              </w:rPr>
              <w:lastRenderedPageBreak/>
              <w:t>andere belangrijke invloedrijke of prognostische factoren</w:t>
            </w:r>
          </w:p>
          <w:p w:rsidR="00480542" w:rsidRPr="00D47345" w:rsidRDefault="00480542" w:rsidP="001968DD">
            <w:pPr>
              <w:tabs>
                <w:tab w:val="left" w:pos="8265"/>
              </w:tabs>
              <w:spacing w:after="0" w:line="240" w:lineRule="auto"/>
              <w:rPr>
                <w:rFonts w:cs="Calibri"/>
                <w:sz w:val="20"/>
                <w:szCs w:val="20"/>
                <w:lang w:val="nl-NL"/>
              </w:rPr>
            </w:pP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lastRenderedPageBreak/>
              <w:t xml:space="preserve">Alle uitkomstmaten/einddoelen dienen precies gedefinieerd te worden, met daarbij adequate follow-up periodes waarmee het aantal recidieven kan worden opgemerkt. </w:t>
            </w:r>
          </w:p>
          <w:p w:rsidR="00480542" w:rsidRPr="00D47345" w:rsidRDefault="00480542" w:rsidP="001968DD">
            <w:pPr>
              <w:tabs>
                <w:tab w:val="left" w:pos="8265"/>
              </w:tabs>
              <w:spacing w:after="0" w:line="240" w:lineRule="auto"/>
              <w:rPr>
                <w:rFonts w:cs="Calibri"/>
                <w:sz w:val="20"/>
                <w:szCs w:val="20"/>
                <w:lang w:val="nl-NL"/>
              </w:rPr>
            </w:pP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Degene die de resultaten evalueren dienen geblindeerd te zijn voor de interventie waar dit mogelijk is.</w:t>
            </w:r>
          </w:p>
          <w:p w:rsidR="00480542" w:rsidRPr="00D47345" w:rsidRDefault="00480542" w:rsidP="001968DD">
            <w:pPr>
              <w:tabs>
                <w:tab w:val="left" w:pos="8265"/>
              </w:tabs>
              <w:spacing w:after="0" w:line="240" w:lineRule="auto"/>
              <w:rPr>
                <w:rFonts w:cs="Calibri"/>
                <w:sz w:val="20"/>
                <w:szCs w:val="20"/>
                <w:lang w:val="nl-NL"/>
              </w:rPr>
            </w:pPr>
          </w:p>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Het risico op een </w:t>
            </w:r>
            <w:r w:rsidR="00C8700C" w:rsidRPr="00D47345">
              <w:rPr>
                <w:rFonts w:cs="Calibri"/>
                <w:sz w:val="20"/>
                <w:szCs w:val="20"/>
                <w:lang w:val="nl-NL"/>
              </w:rPr>
              <w:t>bias door selectie op gezondheid</w:t>
            </w:r>
            <w:r w:rsidRPr="00D47345">
              <w:rPr>
                <w:rFonts w:cs="Calibri"/>
                <w:sz w:val="20"/>
                <w:szCs w:val="20"/>
                <w:lang w:val="nl-NL"/>
              </w:rPr>
              <w:t xml:space="preserve"> moet worden gezien </w:t>
            </w:r>
            <w:r w:rsidRPr="00D47345">
              <w:rPr>
                <w:rFonts w:cs="Calibri"/>
                <w:sz w:val="20"/>
                <w:szCs w:val="20"/>
                <w:lang w:val="nl-NL"/>
              </w:rPr>
              <w:lastRenderedPageBreak/>
              <w:t>in termen van generaliseerbaarheid van de bevindingen</w:t>
            </w:r>
          </w:p>
        </w:tc>
      </w:tr>
      <w:tr w:rsidR="00480542" w:rsidRPr="00D47345" w:rsidTr="00FB74C0">
        <w:tc>
          <w:tcPr>
            <w:tcW w:w="3166"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lastRenderedPageBreak/>
              <w:t>Publicatie bias</w:t>
            </w: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(Alle gegevens dienen beschikbaar gemaakt te worden middels publicatie)</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Alle onderzoeksresultaten behoren onderworpen te worden aan een</w:t>
            </w:r>
            <w:r w:rsidR="00C8700C" w:rsidRPr="00D47345">
              <w:rPr>
                <w:rFonts w:cs="Calibri"/>
                <w:sz w:val="20"/>
                <w:szCs w:val="20"/>
                <w:lang w:val="nl-NL"/>
              </w:rPr>
              <w:t xml:space="preserve"> ‘</w:t>
            </w:r>
            <w:r w:rsidRPr="00D47345">
              <w:rPr>
                <w:rFonts w:cs="Calibri"/>
                <w:sz w:val="20"/>
                <w:szCs w:val="20"/>
                <w:lang w:val="nl-NL"/>
              </w:rPr>
              <w:t>peer review</w:t>
            </w:r>
            <w:r w:rsidR="00C8700C" w:rsidRPr="00D47345">
              <w:rPr>
                <w:rFonts w:cs="Calibri"/>
                <w:sz w:val="20"/>
                <w:szCs w:val="20"/>
                <w:lang w:val="nl-NL"/>
              </w:rPr>
              <w:t>’</w:t>
            </w:r>
            <w:r w:rsidRPr="00D47345">
              <w:rPr>
                <w:rFonts w:cs="Calibri"/>
                <w:color w:val="FF0000"/>
                <w:sz w:val="20"/>
                <w:szCs w:val="20"/>
                <w:lang w:val="nl-NL"/>
              </w:rPr>
              <w:t xml:space="preserve"> </w:t>
            </w:r>
            <w:r w:rsidRPr="00D47345">
              <w:rPr>
                <w:rFonts w:cs="Calibri"/>
                <w:sz w:val="20"/>
                <w:szCs w:val="20"/>
                <w:lang w:val="nl-NL"/>
              </w:rPr>
              <w:t>evaluatie om vervolgens beschikbaar gemaakt te worden voor het algemene publiek</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De kans bestaat dat er een substantieel aantal van de studies aangaande wond interventies niet gepubliceerd zijn of niet beschikbaar zijn via de geïndexeerde tijdschriften</w:t>
            </w:r>
          </w:p>
        </w:tc>
      </w:tr>
      <w:tr w:rsidR="00480542" w:rsidRPr="00B73906" w:rsidTr="00FB74C0">
        <w:tc>
          <w:tcPr>
            <w:tcW w:w="3166"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r w:rsidRPr="00D47345">
              <w:rPr>
                <w:rFonts w:cs="Calibri"/>
                <w:b/>
                <w:sz w:val="20"/>
                <w:szCs w:val="20"/>
                <w:lang w:val="nl-NL"/>
              </w:rPr>
              <w:t>Uitvoering van de studie en analyse van de gegevens</w:t>
            </w: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nil"/>
              <w:bottom w:val="single" w:sz="4" w:space="0" w:color="auto"/>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r>
      <w:tr w:rsidR="00480542" w:rsidRPr="00B73906" w:rsidTr="00FB74C0">
        <w:tc>
          <w:tcPr>
            <w:tcW w:w="3166"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b/>
                <w:sz w:val="20"/>
                <w:szCs w:val="20"/>
                <w:lang w:val="nl-NL"/>
              </w:rPr>
            </w:pP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Idealiter is er sprake van onafhankelijke uitvoering van de studie, onafhankelijke analyse van de gegevens en wordt de rapportage daarvan ook onafhankelijk verricht. </w:t>
            </w:r>
          </w:p>
        </w:tc>
        <w:tc>
          <w:tcPr>
            <w:tcW w:w="3167" w:type="dxa"/>
            <w:tcBorders>
              <w:top w:val="single" w:sz="4" w:space="0" w:color="auto"/>
              <w:bottom w:val="nil"/>
            </w:tcBorders>
            <w:shd w:val="clear" w:color="auto" w:fill="CCC0D9" w:themeFill="accent4" w:themeFillTint="66"/>
          </w:tcPr>
          <w:p w:rsidR="00480542" w:rsidRPr="00D47345" w:rsidRDefault="00480542" w:rsidP="001968DD">
            <w:pPr>
              <w:tabs>
                <w:tab w:val="left" w:pos="8265"/>
              </w:tabs>
              <w:spacing w:after="0" w:line="240" w:lineRule="auto"/>
              <w:rPr>
                <w:rFonts w:cs="Calibri"/>
                <w:sz w:val="20"/>
                <w:szCs w:val="20"/>
                <w:lang w:val="nl-NL"/>
              </w:rPr>
            </w:pPr>
            <w:r w:rsidRPr="00D47345">
              <w:rPr>
                <w:rFonts w:cs="Calibri"/>
                <w:sz w:val="20"/>
                <w:szCs w:val="20"/>
                <w:lang w:val="nl-NL"/>
              </w:rPr>
              <w:t xml:space="preserve">Ook in de wond management studies is er geen reden om dit niet toe te passen. </w:t>
            </w:r>
          </w:p>
        </w:tc>
      </w:tr>
    </w:tbl>
    <w:p w:rsidR="00480542" w:rsidRPr="00D47345" w:rsidRDefault="00480542" w:rsidP="00820BD5">
      <w:pPr>
        <w:tabs>
          <w:tab w:val="left" w:pos="8265"/>
        </w:tabs>
        <w:rPr>
          <w:rFonts w:cs="Calibri"/>
          <w:b/>
          <w:sz w:val="20"/>
          <w:szCs w:val="20"/>
          <w:lang w:val="nl-NL"/>
        </w:rPr>
      </w:pPr>
    </w:p>
    <w:p w:rsidR="00480542" w:rsidRPr="00D47345" w:rsidRDefault="00480542" w:rsidP="00820BD5">
      <w:pPr>
        <w:tabs>
          <w:tab w:val="left" w:pos="8265"/>
        </w:tabs>
        <w:rPr>
          <w:rFonts w:cs="Calibri"/>
          <w:b/>
          <w:color w:val="FF0000"/>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8046"/>
      </w:tblGrid>
      <w:tr w:rsidR="00480542" w:rsidRPr="00B73906" w:rsidTr="00FB74C0">
        <w:tc>
          <w:tcPr>
            <w:tcW w:w="8046" w:type="dxa"/>
            <w:tcBorders>
              <w:bottom w:val="single" w:sz="4" w:space="0" w:color="000000"/>
            </w:tcBorders>
            <w:shd w:val="clear" w:color="auto" w:fill="CCC0D9" w:themeFill="accent4" w:themeFillTint="66"/>
            <w:vAlign w:val="center"/>
          </w:tcPr>
          <w:p w:rsidR="00480542" w:rsidRPr="00B77642" w:rsidRDefault="00480542" w:rsidP="00B77642">
            <w:pPr>
              <w:tabs>
                <w:tab w:val="left" w:pos="8265"/>
              </w:tabs>
              <w:spacing w:after="120" w:line="240" w:lineRule="auto"/>
              <w:rPr>
                <w:rFonts w:cs="Calibri"/>
                <w:b/>
                <w:sz w:val="24"/>
                <w:szCs w:val="24"/>
                <w:lang w:val="nl-NL"/>
              </w:rPr>
            </w:pPr>
            <w:r w:rsidRPr="00B77642">
              <w:rPr>
                <w:rFonts w:cs="Calibri"/>
                <w:b/>
                <w:sz w:val="24"/>
                <w:szCs w:val="24"/>
                <w:lang w:val="nl-NL"/>
              </w:rPr>
              <w:t xml:space="preserve">Tabel 15. Een lijst van veelvoorkomende methodologische fouten in trials naar </w:t>
            </w:r>
            <w:proofErr w:type="spellStart"/>
            <w:r w:rsidRPr="00B77642">
              <w:rPr>
                <w:rFonts w:cs="Calibri"/>
                <w:b/>
                <w:sz w:val="24"/>
                <w:szCs w:val="24"/>
                <w:lang w:val="nl-NL"/>
              </w:rPr>
              <w:t>wondbekking</w:t>
            </w:r>
            <w:r w:rsidR="002E5140" w:rsidRPr="00B77642">
              <w:rPr>
                <w:rFonts w:cs="Calibri"/>
                <w:b/>
                <w:sz w:val="24"/>
                <w:szCs w:val="24"/>
                <w:lang w:val="nl-NL"/>
              </w:rPr>
              <w:t>s</w:t>
            </w:r>
            <w:r w:rsidRPr="00B77642">
              <w:rPr>
                <w:rFonts w:cs="Calibri"/>
                <w:b/>
                <w:sz w:val="24"/>
                <w:szCs w:val="24"/>
                <w:lang w:val="nl-NL"/>
              </w:rPr>
              <w:t>materialen</w:t>
            </w:r>
            <w:proofErr w:type="spellEnd"/>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Te weinig gevalideerde subjectieve evaluaties</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Tekortschietende beschrijving van objectieve of subjectieve meetmethodes</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Afwezigheid van vergelijkbare uitgangswaarden (‘</w:t>
            </w:r>
            <w:r w:rsidR="002E5140" w:rsidRPr="00D47345">
              <w:rPr>
                <w:rFonts w:cs="Calibri"/>
                <w:sz w:val="20"/>
                <w:szCs w:val="20"/>
                <w:lang w:val="nl-NL"/>
              </w:rPr>
              <w:t>baselines’) voor de patië</w:t>
            </w:r>
            <w:r w:rsidRPr="00D47345">
              <w:rPr>
                <w:rFonts w:cs="Calibri"/>
                <w:sz w:val="20"/>
                <w:szCs w:val="20"/>
                <w:lang w:val="nl-NL"/>
              </w:rPr>
              <w:t>ntengroepen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Ontbreken van blindering bij de evaluatie van de primaire uitkomstmaten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Gebruik van incorrecte randomisatie methoden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Slecht gedefinieerde primaire of secundaire einddoelen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Het aantal geïncludeerde patiënten is niet gebaseerd op een a-priori berekenende steekproefgrootte</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methode voor randomisatie wordt gebrekkig of niet beschreven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evaluatie van de uitkomstmaten is niet volledig objectief</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verstreken tijd tot wondgenezing is niet als primaire uitkomstmaat geëvalueerd</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De ‘intentie voor behandeling’ analyse is niet toegepast</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Er is geen gebruik gemaakt van enkelvoudige wonden ter referentie</w:t>
            </w:r>
          </w:p>
        </w:tc>
      </w:tr>
      <w:tr w:rsidR="00480542" w:rsidRPr="00D47345"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Heterogeniteit van de studiepopulatie</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Het aantal uitvallers tijdens de studie of de redenen ervoor worden niet genoemd</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 xml:space="preserve">De specificaties van </w:t>
            </w:r>
            <w:proofErr w:type="spellStart"/>
            <w:r w:rsidRPr="00D47345">
              <w:rPr>
                <w:rFonts w:cs="Calibri"/>
                <w:sz w:val="20"/>
                <w:szCs w:val="20"/>
                <w:lang w:val="nl-NL"/>
              </w:rPr>
              <w:t>adjuvante</w:t>
            </w:r>
            <w:proofErr w:type="spellEnd"/>
            <w:r w:rsidRPr="00D47345">
              <w:rPr>
                <w:rFonts w:cs="Calibri"/>
                <w:sz w:val="20"/>
                <w:szCs w:val="20"/>
                <w:lang w:val="nl-NL"/>
              </w:rPr>
              <w:t xml:space="preserve"> therapieën ontbreken (als compressie therapie verbanden of drukontlasting bij</w:t>
            </w:r>
            <w:r w:rsidR="002E5140" w:rsidRPr="00D47345">
              <w:rPr>
                <w:rFonts w:cs="Calibri"/>
                <w:sz w:val="20"/>
                <w:szCs w:val="20"/>
                <w:lang w:val="nl-NL"/>
              </w:rPr>
              <w:t xml:space="preserve"> </w:t>
            </w:r>
            <w:proofErr w:type="spellStart"/>
            <w:r w:rsidR="002E5140" w:rsidRPr="00D47345">
              <w:rPr>
                <w:rFonts w:cs="Calibri"/>
                <w:sz w:val="20"/>
                <w:szCs w:val="20"/>
                <w:lang w:val="nl-NL"/>
              </w:rPr>
              <w:t>neuropathische</w:t>
            </w:r>
            <w:proofErr w:type="spellEnd"/>
            <w:r w:rsidR="00C8700C" w:rsidRPr="00D47345">
              <w:rPr>
                <w:rFonts w:cs="Calibri"/>
                <w:sz w:val="20"/>
                <w:szCs w:val="20"/>
                <w:lang w:val="nl-NL"/>
              </w:rPr>
              <w:t>’</w:t>
            </w:r>
            <w:r w:rsidRPr="00D47345">
              <w:rPr>
                <w:rFonts w:cs="Calibri"/>
                <w:sz w:val="20"/>
                <w:szCs w:val="20"/>
                <w:lang w:val="nl-NL"/>
              </w:rPr>
              <w:t xml:space="preserve"> ulcera)</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Kleine steekproefgrootte in combinatie met meerdere uitkomstmaten</w:t>
            </w:r>
          </w:p>
        </w:tc>
      </w:tr>
      <w:tr w:rsidR="00480542" w:rsidRPr="00B73906" w:rsidTr="00FB74C0">
        <w:tc>
          <w:tcPr>
            <w:tcW w:w="8046"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lastRenderedPageBreak/>
              <w:t xml:space="preserve">Het weergeven van meerdere uitkomstmaten op meerdere tijdsstippen (dit verhoogd de kans op een type 1 fout) </w:t>
            </w:r>
          </w:p>
        </w:tc>
      </w:tr>
      <w:tr w:rsidR="00480542" w:rsidRPr="00B73906" w:rsidTr="00FB74C0">
        <w:tc>
          <w:tcPr>
            <w:tcW w:w="8046" w:type="dxa"/>
            <w:tcBorders>
              <w:top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Overall slechte rapportage van de studie</w:t>
            </w:r>
          </w:p>
        </w:tc>
      </w:tr>
    </w:tbl>
    <w:p w:rsidR="00480542" w:rsidRPr="00D47345" w:rsidRDefault="00480542" w:rsidP="00820BD5">
      <w:pPr>
        <w:tabs>
          <w:tab w:val="left" w:pos="8265"/>
        </w:tabs>
        <w:rPr>
          <w:rFonts w:cs="Calibri"/>
          <w:b/>
          <w:sz w:val="20"/>
          <w:szCs w:val="20"/>
          <w:lang w:val="nl-NL"/>
        </w:rPr>
      </w:pPr>
    </w:p>
    <w:p w:rsidR="00480542" w:rsidRPr="00D47345" w:rsidRDefault="00480542" w:rsidP="00820BD5">
      <w:pPr>
        <w:tabs>
          <w:tab w:val="left" w:pos="8265"/>
        </w:tabs>
        <w:rPr>
          <w:rFonts w:cs="Calibri"/>
          <w:b/>
          <w:sz w:val="20"/>
          <w:szCs w:val="20"/>
          <w:lang w:val="nl-NL"/>
        </w:rPr>
      </w:pPr>
    </w:p>
    <w:tbl>
      <w:tblPr>
        <w:tblW w:w="0" w:type="auto"/>
        <w:tblBorders>
          <w:insideH w:val="single" w:sz="4" w:space="0" w:color="000000"/>
          <w:insideV w:val="single" w:sz="4" w:space="0" w:color="000000"/>
        </w:tblBorders>
        <w:shd w:val="clear" w:color="auto" w:fill="CCC0D9" w:themeFill="accent4" w:themeFillTint="66"/>
        <w:tblLook w:val="00A0" w:firstRow="1" w:lastRow="0" w:firstColumn="1" w:lastColumn="0" w:noHBand="0" w:noVBand="0"/>
      </w:tblPr>
      <w:tblGrid>
        <w:gridCol w:w="9500"/>
      </w:tblGrid>
      <w:tr w:rsidR="00480542" w:rsidRPr="00B73906" w:rsidTr="00B77642">
        <w:tc>
          <w:tcPr>
            <w:tcW w:w="9500" w:type="dxa"/>
            <w:tcBorders>
              <w:top w:val="nil"/>
              <w:bottom w:val="nil"/>
            </w:tcBorders>
            <w:shd w:val="clear" w:color="auto" w:fill="CCC0D9" w:themeFill="accent4" w:themeFillTint="66"/>
            <w:vAlign w:val="center"/>
          </w:tcPr>
          <w:p w:rsidR="00480542" w:rsidRPr="00B77642" w:rsidRDefault="00480542" w:rsidP="001968DD">
            <w:pPr>
              <w:tabs>
                <w:tab w:val="left" w:pos="8265"/>
              </w:tabs>
              <w:spacing w:after="0" w:line="360" w:lineRule="auto"/>
              <w:rPr>
                <w:rFonts w:cs="Calibri"/>
                <w:b/>
                <w:sz w:val="24"/>
                <w:szCs w:val="24"/>
                <w:lang w:val="nl-NL"/>
              </w:rPr>
            </w:pPr>
            <w:r w:rsidRPr="00B77642">
              <w:rPr>
                <w:rFonts w:cs="Calibri"/>
                <w:b/>
                <w:sz w:val="24"/>
                <w:szCs w:val="24"/>
                <w:lang w:val="nl-NL"/>
              </w:rPr>
              <w:t>Tabel 16. Checklist voor doelen en uitkomstmaten in klinische trials</w:t>
            </w:r>
          </w:p>
        </w:tc>
      </w:tr>
      <w:tr w:rsidR="00480542" w:rsidRPr="00D47345" w:rsidTr="00B77642">
        <w:tc>
          <w:tcPr>
            <w:tcW w:w="9500" w:type="dxa"/>
            <w:tcBorders>
              <w:top w:val="nil"/>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b/>
                <w:sz w:val="20"/>
                <w:szCs w:val="20"/>
                <w:lang w:val="nl-NL"/>
              </w:rPr>
            </w:pPr>
            <w:r w:rsidRPr="00D47345">
              <w:rPr>
                <w:rFonts w:cs="Calibri"/>
                <w:b/>
                <w:sz w:val="20"/>
                <w:szCs w:val="20"/>
                <w:lang w:val="nl-NL"/>
              </w:rPr>
              <w:t>Doelen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Worden de zowel de te onderzoeken interventie als de controle interventie (vaak de huidige standaard zorg) in detail beschreven?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Wordt de patiënten doelgroep helder gespecificeerd?</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Wordt de mate van voordeel van de interventie op een bepaalde uitkomstmaat, en het bijbehorende tijdsframe, gespecificeerd?</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Wordt de primaire uitkomstmaat, inclusief hoe en wanneer deze wordt gemeten, gespecificeerd?</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Zijn er secundaire uitkomstmaten even gedetailleerd vooraf gedefinieerd?</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Zijn de uitkomstmaten klinisch relevant, objectief (waar wenselijk) en ondubbelzinnig?</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Kunnen de uitkomstmaten bij elke patiënt gemeten worden en is het mogelijk de onderzoekers te blinderen voor de gegeven therapie?</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Is de studie duidelijk over de het aantal metingen en de duur van het onderzoek naar de uitkomstmaten?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Is er een speciale planning, vanuit een statisch oogpunt, gemaakt indien er meerdere uitkomstmaten gemeten gaan worden?</w:t>
            </w:r>
          </w:p>
        </w:tc>
      </w:tr>
      <w:tr w:rsidR="00480542" w:rsidRPr="00B73906" w:rsidTr="00FB74C0">
        <w:tc>
          <w:tcPr>
            <w:tcW w:w="9500" w:type="dxa"/>
            <w:tcBorders>
              <w:top w:val="single" w:sz="4" w:space="0" w:color="000000"/>
              <w:bottom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360" w:lineRule="auto"/>
              <w:rPr>
                <w:rFonts w:cs="Calibri"/>
                <w:sz w:val="20"/>
                <w:szCs w:val="20"/>
                <w:lang w:val="nl-NL"/>
              </w:rPr>
            </w:pPr>
            <w:r w:rsidRPr="00D47345">
              <w:rPr>
                <w:rFonts w:cs="Calibri"/>
                <w:sz w:val="20"/>
                <w:szCs w:val="20"/>
                <w:lang w:val="nl-NL"/>
              </w:rPr>
              <w:t xml:space="preserve">Als de uitkomstmaat een vervangende uitkomstmaat is, zal het dan adequaat het hoofddoel weergeven? En is er een indicatie over hoe een voordeel geobserveerd bij de vervangende uitkomstmaat zich laat vertalen tot een voordeel van het hoofddoel? </w:t>
            </w:r>
          </w:p>
        </w:tc>
      </w:tr>
      <w:tr w:rsidR="00480542" w:rsidRPr="00D47345" w:rsidTr="00FB74C0">
        <w:tc>
          <w:tcPr>
            <w:tcW w:w="9500" w:type="dxa"/>
            <w:tcBorders>
              <w:top w:val="single" w:sz="4" w:space="0" w:color="000000"/>
            </w:tcBorders>
            <w:shd w:val="clear" w:color="auto" w:fill="CCC0D9" w:themeFill="accent4" w:themeFillTint="66"/>
            <w:vAlign w:val="center"/>
          </w:tcPr>
          <w:p w:rsidR="00480542" w:rsidRPr="00D47345" w:rsidRDefault="00480542" w:rsidP="001968DD">
            <w:pPr>
              <w:tabs>
                <w:tab w:val="left" w:pos="8265"/>
              </w:tabs>
              <w:spacing w:after="0" w:line="240" w:lineRule="auto"/>
              <w:rPr>
                <w:rFonts w:cs="Calibri"/>
                <w:sz w:val="20"/>
                <w:szCs w:val="20"/>
                <w:lang w:val="en-GB"/>
              </w:rPr>
            </w:pPr>
            <w:r w:rsidRPr="00D47345">
              <w:rPr>
                <w:rFonts w:cs="Calibri"/>
                <w:sz w:val="20"/>
                <w:szCs w:val="20"/>
                <w:lang w:val="en-GB"/>
              </w:rPr>
              <w:t>(</w:t>
            </w:r>
            <w:proofErr w:type="spellStart"/>
            <w:r w:rsidRPr="00D47345">
              <w:rPr>
                <w:rFonts w:cs="Calibri"/>
                <w:sz w:val="20"/>
                <w:szCs w:val="20"/>
                <w:lang w:val="en-GB"/>
              </w:rPr>
              <w:t>Referentie</w:t>
            </w:r>
            <w:proofErr w:type="spellEnd"/>
            <w:r w:rsidRPr="00D47345">
              <w:rPr>
                <w:rFonts w:cs="Calibri"/>
                <w:sz w:val="20"/>
                <w:szCs w:val="20"/>
                <w:lang w:val="en-GB"/>
              </w:rPr>
              <w:t xml:space="preserve">; Appendix B, Quality of Literature, ECRI Study Quality Assessment Instrument, Negative Pressure Wound Therapy Devices, </w:t>
            </w:r>
            <w:hyperlink r:id="rId24" w:history="1">
              <w:r w:rsidR="00FE0CD4" w:rsidRPr="00D47345">
                <w:rPr>
                  <w:rStyle w:val="Hyperlink"/>
                  <w:rFonts w:cs="Calibri"/>
                  <w:sz w:val="20"/>
                  <w:szCs w:val="20"/>
                  <w:lang w:val="en-GB"/>
                </w:rPr>
                <w:t>www.ecri.org</w:t>
              </w:r>
            </w:hyperlink>
            <w:r w:rsidRPr="00D47345">
              <w:rPr>
                <w:rFonts w:cs="Calibri"/>
                <w:sz w:val="20"/>
                <w:szCs w:val="20"/>
                <w:lang w:val="en-GB"/>
              </w:rPr>
              <w:t>)</w:t>
            </w:r>
          </w:p>
        </w:tc>
      </w:tr>
    </w:tbl>
    <w:p w:rsidR="00480542" w:rsidRPr="00D47345" w:rsidRDefault="00480542" w:rsidP="00820BD5">
      <w:pPr>
        <w:tabs>
          <w:tab w:val="left" w:pos="8265"/>
        </w:tabs>
        <w:rPr>
          <w:rFonts w:cs="Calibri"/>
          <w:sz w:val="20"/>
          <w:szCs w:val="20"/>
          <w:lang w:val="en-GB"/>
        </w:rPr>
      </w:pPr>
    </w:p>
    <w:sectPr w:rsidR="00480542" w:rsidRPr="00D47345" w:rsidSect="00CC4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D1" w:rsidRDefault="009048D1" w:rsidP="008C5231">
      <w:pPr>
        <w:spacing w:after="0" w:line="240" w:lineRule="auto"/>
      </w:pPr>
      <w:r>
        <w:separator/>
      </w:r>
    </w:p>
  </w:endnote>
  <w:endnote w:type="continuationSeparator" w:id="0">
    <w:p w:rsidR="009048D1" w:rsidRDefault="009048D1" w:rsidP="008C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D1" w:rsidRDefault="009048D1" w:rsidP="008C5231">
      <w:pPr>
        <w:spacing w:after="0" w:line="240" w:lineRule="auto"/>
      </w:pPr>
      <w:r>
        <w:separator/>
      </w:r>
    </w:p>
  </w:footnote>
  <w:footnote w:type="continuationSeparator" w:id="0">
    <w:p w:rsidR="009048D1" w:rsidRDefault="009048D1" w:rsidP="008C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47E"/>
    <w:multiLevelType w:val="hybridMultilevel"/>
    <w:tmpl w:val="5FD62A8A"/>
    <w:lvl w:ilvl="0" w:tplc="0413000F">
      <w:start w:val="2"/>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0B892D5D"/>
    <w:multiLevelType w:val="hybridMultilevel"/>
    <w:tmpl w:val="B77A4BCA"/>
    <w:lvl w:ilvl="0" w:tplc="1632FF72">
      <w:start w:val="1"/>
      <w:numFmt w:val="decimal"/>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11B92C21"/>
    <w:multiLevelType w:val="hybridMultilevel"/>
    <w:tmpl w:val="FBDAA3B6"/>
    <w:lvl w:ilvl="0" w:tplc="FA702A90">
      <w:start w:val="1"/>
      <w:numFmt w:val="decimal"/>
      <w:lvlText w:val="%1."/>
      <w:lvlJc w:val="left"/>
      <w:pPr>
        <w:ind w:left="720" w:hanging="360"/>
      </w:pPr>
      <w:rPr>
        <w:rFonts w:ascii="Calibri" w:eastAsia="Times New Roman" w:hAnsi="Calibri"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nsid w:val="32F75BFF"/>
    <w:multiLevelType w:val="hybridMultilevel"/>
    <w:tmpl w:val="8D02F42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nsid w:val="34CB1570"/>
    <w:multiLevelType w:val="hybridMultilevel"/>
    <w:tmpl w:val="E00A77FC"/>
    <w:lvl w:ilvl="0" w:tplc="B5064364">
      <w:start w:val="37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378932AD"/>
    <w:multiLevelType w:val="hybridMultilevel"/>
    <w:tmpl w:val="72242A30"/>
    <w:lvl w:ilvl="0" w:tplc="0CC07E7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D1E58A7"/>
    <w:multiLevelType w:val="hybridMultilevel"/>
    <w:tmpl w:val="D2F208FE"/>
    <w:lvl w:ilvl="0" w:tplc="0CC07E78">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A821659"/>
    <w:multiLevelType w:val="hybridMultilevel"/>
    <w:tmpl w:val="9EF49DE8"/>
    <w:lvl w:ilvl="0" w:tplc="85022A1A">
      <w:start w:val="50"/>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1A"/>
    <w:rsid w:val="00007258"/>
    <w:rsid w:val="0002440A"/>
    <w:rsid w:val="00027371"/>
    <w:rsid w:val="00037315"/>
    <w:rsid w:val="00042CAC"/>
    <w:rsid w:val="00052508"/>
    <w:rsid w:val="0007052D"/>
    <w:rsid w:val="000771C7"/>
    <w:rsid w:val="0007752E"/>
    <w:rsid w:val="0008295D"/>
    <w:rsid w:val="000B7431"/>
    <w:rsid w:val="00100759"/>
    <w:rsid w:val="001202B7"/>
    <w:rsid w:val="0012686E"/>
    <w:rsid w:val="00135762"/>
    <w:rsid w:val="001406E0"/>
    <w:rsid w:val="001968DD"/>
    <w:rsid w:val="001A530C"/>
    <w:rsid w:val="001B4911"/>
    <w:rsid w:val="001B6F73"/>
    <w:rsid w:val="00214CF9"/>
    <w:rsid w:val="002260DE"/>
    <w:rsid w:val="00234859"/>
    <w:rsid w:val="00250402"/>
    <w:rsid w:val="0029214A"/>
    <w:rsid w:val="00292655"/>
    <w:rsid w:val="002B51F4"/>
    <w:rsid w:val="002E5140"/>
    <w:rsid w:val="00315459"/>
    <w:rsid w:val="0034043E"/>
    <w:rsid w:val="00344BC5"/>
    <w:rsid w:val="00352518"/>
    <w:rsid w:val="003A25BC"/>
    <w:rsid w:val="003A7377"/>
    <w:rsid w:val="003C39B1"/>
    <w:rsid w:val="003D0893"/>
    <w:rsid w:val="003F6C0C"/>
    <w:rsid w:val="00413B6B"/>
    <w:rsid w:val="00432222"/>
    <w:rsid w:val="00472362"/>
    <w:rsid w:val="00480542"/>
    <w:rsid w:val="00495543"/>
    <w:rsid w:val="004E50D0"/>
    <w:rsid w:val="00500CF4"/>
    <w:rsid w:val="00523515"/>
    <w:rsid w:val="005350CC"/>
    <w:rsid w:val="00552B47"/>
    <w:rsid w:val="00563530"/>
    <w:rsid w:val="00572BAD"/>
    <w:rsid w:val="00576FA4"/>
    <w:rsid w:val="005A2680"/>
    <w:rsid w:val="005A3FAF"/>
    <w:rsid w:val="005D1810"/>
    <w:rsid w:val="005F0A6A"/>
    <w:rsid w:val="006152CF"/>
    <w:rsid w:val="00623091"/>
    <w:rsid w:val="006303A5"/>
    <w:rsid w:val="00642E5B"/>
    <w:rsid w:val="0065149B"/>
    <w:rsid w:val="00651A4C"/>
    <w:rsid w:val="00652871"/>
    <w:rsid w:val="00655468"/>
    <w:rsid w:val="00690EFD"/>
    <w:rsid w:val="006A76BD"/>
    <w:rsid w:val="006B6819"/>
    <w:rsid w:val="006C7108"/>
    <w:rsid w:val="006D366B"/>
    <w:rsid w:val="006E2E3C"/>
    <w:rsid w:val="006F6DC7"/>
    <w:rsid w:val="00701109"/>
    <w:rsid w:val="00755A1A"/>
    <w:rsid w:val="007657A6"/>
    <w:rsid w:val="007677A8"/>
    <w:rsid w:val="00792520"/>
    <w:rsid w:val="0081300E"/>
    <w:rsid w:val="00815CC6"/>
    <w:rsid w:val="00820BD5"/>
    <w:rsid w:val="008220F9"/>
    <w:rsid w:val="00833D92"/>
    <w:rsid w:val="00851B9B"/>
    <w:rsid w:val="00852F20"/>
    <w:rsid w:val="008927B4"/>
    <w:rsid w:val="00897ED7"/>
    <w:rsid w:val="008C5231"/>
    <w:rsid w:val="0090075D"/>
    <w:rsid w:val="00903E6F"/>
    <w:rsid w:val="009048D1"/>
    <w:rsid w:val="00936092"/>
    <w:rsid w:val="00937CCA"/>
    <w:rsid w:val="009464C9"/>
    <w:rsid w:val="009605DA"/>
    <w:rsid w:val="009A0D7A"/>
    <w:rsid w:val="009A6D0D"/>
    <w:rsid w:val="009E77EB"/>
    <w:rsid w:val="00A1501F"/>
    <w:rsid w:val="00A52540"/>
    <w:rsid w:val="00AE2DA9"/>
    <w:rsid w:val="00AE369F"/>
    <w:rsid w:val="00AF42F9"/>
    <w:rsid w:val="00B04EFC"/>
    <w:rsid w:val="00B17184"/>
    <w:rsid w:val="00B20B22"/>
    <w:rsid w:val="00B229E0"/>
    <w:rsid w:val="00B24085"/>
    <w:rsid w:val="00B365C8"/>
    <w:rsid w:val="00B73906"/>
    <w:rsid w:val="00B77642"/>
    <w:rsid w:val="00BC33FC"/>
    <w:rsid w:val="00C06A7C"/>
    <w:rsid w:val="00C25A5F"/>
    <w:rsid w:val="00C40C28"/>
    <w:rsid w:val="00C46B4C"/>
    <w:rsid w:val="00C8700C"/>
    <w:rsid w:val="00C91521"/>
    <w:rsid w:val="00CA078A"/>
    <w:rsid w:val="00CC440A"/>
    <w:rsid w:val="00CE79F9"/>
    <w:rsid w:val="00D045C1"/>
    <w:rsid w:val="00D1222E"/>
    <w:rsid w:val="00D232B0"/>
    <w:rsid w:val="00D30341"/>
    <w:rsid w:val="00D47345"/>
    <w:rsid w:val="00D4779B"/>
    <w:rsid w:val="00D67C73"/>
    <w:rsid w:val="00D77747"/>
    <w:rsid w:val="00D77F4B"/>
    <w:rsid w:val="00D835D6"/>
    <w:rsid w:val="00D91C5C"/>
    <w:rsid w:val="00DB1D1E"/>
    <w:rsid w:val="00DF1B10"/>
    <w:rsid w:val="00DF2795"/>
    <w:rsid w:val="00DF7CC1"/>
    <w:rsid w:val="00E23EFA"/>
    <w:rsid w:val="00E319E0"/>
    <w:rsid w:val="00E60C6C"/>
    <w:rsid w:val="00E90664"/>
    <w:rsid w:val="00E913A4"/>
    <w:rsid w:val="00EA0F88"/>
    <w:rsid w:val="00EA6F55"/>
    <w:rsid w:val="00EB4FCF"/>
    <w:rsid w:val="00EB658E"/>
    <w:rsid w:val="00EC240B"/>
    <w:rsid w:val="00EC31FC"/>
    <w:rsid w:val="00EE41BE"/>
    <w:rsid w:val="00EF6177"/>
    <w:rsid w:val="00F11809"/>
    <w:rsid w:val="00F45377"/>
    <w:rsid w:val="00F51144"/>
    <w:rsid w:val="00F631AC"/>
    <w:rsid w:val="00F73657"/>
    <w:rsid w:val="00F81315"/>
    <w:rsid w:val="00F86DB4"/>
    <w:rsid w:val="00FB74C0"/>
    <w:rsid w:val="00FE0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440A"/>
    <w:pPr>
      <w:spacing w:after="200" w:line="276" w:lineRule="auto"/>
    </w:pPr>
    <w:rPr>
      <w:rFonts w:eastAsia="Times New Roman"/>
      <w:sz w:val="22"/>
      <w:szCs w:val="22"/>
      <w:lang w:val="en-US" w:eastAsia="en-US"/>
    </w:rPr>
  </w:style>
  <w:style w:type="paragraph" w:styleId="Kop1">
    <w:name w:val="heading 1"/>
    <w:basedOn w:val="Standaard"/>
    <w:next w:val="Standaard"/>
    <w:qFormat/>
    <w:locked/>
    <w:rsid w:val="00FE0CD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55A1A"/>
    <w:rPr>
      <w:rFonts w:eastAsia="Times New Roman"/>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rsid w:val="008C5231"/>
    <w:pPr>
      <w:tabs>
        <w:tab w:val="center" w:pos="4680"/>
        <w:tab w:val="right" w:pos="9360"/>
      </w:tabs>
      <w:spacing w:after="0" w:line="240" w:lineRule="auto"/>
    </w:pPr>
  </w:style>
  <w:style w:type="character" w:customStyle="1" w:styleId="KoptekstChar">
    <w:name w:val="Koptekst Char"/>
    <w:link w:val="Koptekst"/>
    <w:locked/>
    <w:rsid w:val="008C5231"/>
    <w:rPr>
      <w:rFonts w:cs="Times New Roman"/>
    </w:rPr>
  </w:style>
  <w:style w:type="paragraph" w:styleId="Voettekst">
    <w:name w:val="footer"/>
    <w:basedOn w:val="Standaard"/>
    <w:link w:val="VoettekstChar"/>
    <w:rsid w:val="008C5231"/>
    <w:pPr>
      <w:tabs>
        <w:tab w:val="center" w:pos="4680"/>
        <w:tab w:val="right" w:pos="9360"/>
      </w:tabs>
      <w:spacing w:after="0" w:line="240" w:lineRule="auto"/>
    </w:pPr>
  </w:style>
  <w:style w:type="character" w:customStyle="1" w:styleId="VoettekstChar">
    <w:name w:val="Voettekst Char"/>
    <w:link w:val="Voettekst"/>
    <w:locked/>
    <w:rsid w:val="008C5231"/>
    <w:rPr>
      <w:rFonts w:cs="Times New Roman"/>
    </w:rPr>
  </w:style>
  <w:style w:type="paragraph" w:customStyle="1" w:styleId="Lijstalinea1">
    <w:name w:val="Lijstalinea1"/>
    <w:basedOn w:val="Standaard"/>
    <w:rsid w:val="003C39B1"/>
    <w:pPr>
      <w:ind w:left="720"/>
    </w:pPr>
  </w:style>
  <w:style w:type="paragraph" w:styleId="Plattetekst">
    <w:name w:val="Body Text"/>
    <w:basedOn w:val="Standaard"/>
    <w:rsid w:val="00FE0CD4"/>
    <w:pPr>
      <w:spacing w:after="120"/>
    </w:pPr>
  </w:style>
  <w:style w:type="character" w:styleId="Hyperlink">
    <w:name w:val="Hyperlink"/>
    <w:rsid w:val="00FE0CD4"/>
    <w:rPr>
      <w:color w:val="0000FF"/>
      <w:u w:val="single"/>
    </w:rPr>
  </w:style>
  <w:style w:type="paragraph" w:styleId="Ballontekst">
    <w:name w:val="Balloon Text"/>
    <w:basedOn w:val="Standaard"/>
    <w:link w:val="BallontekstChar"/>
    <w:rsid w:val="00F86D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F86DB4"/>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440A"/>
    <w:pPr>
      <w:spacing w:after="200" w:line="276" w:lineRule="auto"/>
    </w:pPr>
    <w:rPr>
      <w:rFonts w:eastAsia="Times New Roman"/>
      <w:sz w:val="22"/>
      <w:szCs w:val="22"/>
      <w:lang w:val="en-US" w:eastAsia="en-US"/>
    </w:rPr>
  </w:style>
  <w:style w:type="paragraph" w:styleId="Kop1">
    <w:name w:val="heading 1"/>
    <w:basedOn w:val="Standaard"/>
    <w:next w:val="Standaard"/>
    <w:qFormat/>
    <w:locked/>
    <w:rsid w:val="00FE0CD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55A1A"/>
    <w:rPr>
      <w:rFonts w:eastAsia="Times New Roman"/>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rsid w:val="008C5231"/>
    <w:pPr>
      <w:tabs>
        <w:tab w:val="center" w:pos="4680"/>
        <w:tab w:val="right" w:pos="9360"/>
      </w:tabs>
      <w:spacing w:after="0" w:line="240" w:lineRule="auto"/>
    </w:pPr>
  </w:style>
  <w:style w:type="character" w:customStyle="1" w:styleId="KoptekstChar">
    <w:name w:val="Koptekst Char"/>
    <w:link w:val="Koptekst"/>
    <w:locked/>
    <w:rsid w:val="008C5231"/>
    <w:rPr>
      <w:rFonts w:cs="Times New Roman"/>
    </w:rPr>
  </w:style>
  <w:style w:type="paragraph" w:styleId="Voettekst">
    <w:name w:val="footer"/>
    <w:basedOn w:val="Standaard"/>
    <w:link w:val="VoettekstChar"/>
    <w:rsid w:val="008C5231"/>
    <w:pPr>
      <w:tabs>
        <w:tab w:val="center" w:pos="4680"/>
        <w:tab w:val="right" w:pos="9360"/>
      </w:tabs>
      <w:spacing w:after="0" w:line="240" w:lineRule="auto"/>
    </w:pPr>
  </w:style>
  <w:style w:type="character" w:customStyle="1" w:styleId="VoettekstChar">
    <w:name w:val="Voettekst Char"/>
    <w:link w:val="Voettekst"/>
    <w:locked/>
    <w:rsid w:val="008C5231"/>
    <w:rPr>
      <w:rFonts w:cs="Times New Roman"/>
    </w:rPr>
  </w:style>
  <w:style w:type="paragraph" w:customStyle="1" w:styleId="Lijstalinea1">
    <w:name w:val="Lijstalinea1"/>
    <w:basedOn w:val="Standaard"/>
    <w:rsid w:val="003C39B1"/>
    <w:pPr>
      <w:ind w:left="720"/>
    </w:pPr>
  </w:style>
  <w:style w:type="paragraph" w:styleId="Plattetekst">
    <w:name w:val="Body Text"/>
    <w:basedOn w:val="Standaard"/>
    <w:rsid w:val="00FE0CD4"/>
    <w:pPr>
      <w:spacing w:after="120"/>
    </w:pPr>
  </w:style>
  <w:style w:type="character" w:styleId="Hyperlink">
    <w:name w:val="Hyperlink"/>
    <w:rsid w:val="00FE0CD4"/>
    <w:rPr>
      <w:color w:val="0000FF"/>
      <w:u w:val="single"/>
    </w:rPr>
  </w:style>
  <w:style w:type="paragraph" w:styleId="Ballontekst">
    <w:name w:val="Balloon Text"/>
    <w:basedOn w:val="Standaard"/>
    <w:link w:val="BallontekstChar"/>
    <w:rsid w:val="00F86D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F86DB4"/>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statement.org/Mohr,D.Schultz"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yperlink" Target="http://www.nice.org.uk/aboutnice/howwework/developingniceclinicalguidelines/clinicalguidelinedevelopmentmethods/GuidelinesManual2009.jsp"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terprise/sectors/medical-devices/files/meddev/2_7_I" TargetMode="External"/><Relationship Id="rId24" Type="http://schemas.openxmlformats.org/officeDocument/2006/relationships/hyperlink" Target="http://www.ecri.org"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ec.europa.eu/enterprise/sectors/medical-devices/files/meddev/2_12-2_05-2004_en.pdf" TargetMode="Externa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hyperlink" Target="http://www.aqua-institut.de" TargetMode="Externa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B57C12-0FC2-4E1F-91CB-36CCD712BFCD}" type="doc">
      <dgm:prSet loTypeId="urn:microsoft.com/office/officeart/2005/8/layout/process2" loCatId="process" qsTypeId="urn:microsoft.com/office/officeart/2005/8/quickstyle/simple1" qsCatId="simple" csTypeId="urn:microsoft.com/office/officeart/2005/8/colors/accent1_2" csCatId="accent1" phldr="1"/>
      <dgm:spPr/>
    </dgm:pt>
    <dgm:pt modelId="{21F4AB89-BB9A-4C21-ABCC-008B504D0AEA}">
      <dgm:prSet phldrT="[Tekst]" custT="1"/>
      <dgm:spPr>
        <a:solidFill>
          <a:schemeClr val="accent4">
            <a:lumMod val="60000"/>
            <a:lumOff val="40000"/>
          </a:schemeClr>
        </a:solidFill>
      </dgm:spPr>
      <dgm:t>
        <a:bodyPr/>
        <a:lstStyle/>
        <a:p>
          <a:r>
            <a:rPr lang="nl-NL" sz="1100">
              <a:latin typeface="Calibri" pitchFamily="34" charset="0"/>
              <a:cs typeface="Calibri" pitchFamily="34" charset="0"/>
            </a:rPr>
            <a:t>Medische apparatuur</a:t>
          </a:r>
        </a:p>
      </dgm:t>
    </dgm:pt>
    <dgm:pt modelId="{8E95871F-AA25-4F4F-97D5-1F5BC612371C}" type="parTrans" cxnId="{171FFE3B-7496-426D-A443-4A5768C318C8}">
      <dgm:prSet/>
      <dgm:spPr/>
      <dgm:t>
        <a:bodyPr/>
        <a:lstStyle/>
        <a:p>
          <a:endParaRPr lang="nl-NL"/>
        </a:p>
      </dgm:t>
    </dgm:pt>
    <dgm:pt modelId="{4E093461-D30D-49F4-8CC3-C529F282CA1A}" type="sibTrans" cxnId="{171FFE3B-7496-426D-A443-4A5768C318C8}">
      <dgm:prSet/>
      <dgm:spPr/>
      <dgm:t>
        <a:bodyPr/>
        <a:lstStyle/>
        <a:p>
          <a:endParaRPr lang="nl-NL"/>
        </a:p>
      </dgm:t>
    </dgm:pt>
    <dgm:pt modelId="{BAF595FA-A3D4-4D3F-B060-D16C0BA6A56E}">
      <dgm:prSet phldrT="[Tekst]" custT="1"/>
      <dgm:spPr/>
      <dgm:t>
        <a:bodyPr/>
        <a:lstStyle/>
        <a:p>
          <a:r>
            <a:rPr lang="nl-NL" sz="1100">
              <a:latin typeface="Calibri" pitchFamily="34" charset="0"/>
              <a:cs typeface="Calibri" pitchFamily="34" charset="0"/>
            </a:rPr>
            <a:t>technische ontwikkeling, productie </a:t>
          </a:r>
        </a:p>
      </dgm:t>
    </dgm:pt>
    <dgm:pt modelId="{D4BCF3B8-411F-4654-92D5-44E8B5369476}" type="parTrans" cxnId="{640447BE-80E0-4ED8-9A18-F93C353B73C4}">
      <dgm:prSet/>
      <dgm:spPr/>
      <dgm:t>
        <a:bodyPr/>
        <a:lstStyle/>
        <a:p>
          <a:endParaRPr lang="nl-NL"/>
        </a:p>
      </dgm:t>
    </dgm:pt>
    <dgm:pt modelId="{8A6ADC82-767D-4F88-8F8A-068B686C6340}" type="sibTrans" cxnId="{640447BE-80E0-4ED8-9A18-F93C353B73C4}">
      <dgm:prSet/>
      <dgm:spPr/>
      <dgm:t>
        <a:bodyPr/>
        <a:lstStyle/>
        <a:p>
          <a:endParaRPr lang="nl-NL"/>
        </a:p>
      </dgm:t>
    </dgm:pt>
    <dgm:pt modelId="{F94D4898-0500-4AFE-BF62-0595D719817F}">
      <dgm:prSet phldrT="[Tekst]" custT="1"/>
      <dgm:spPr/>
      <dgm:t>
        <a:bodyPr/>
        <a:lstStyle/>
        <a:p>
          <a:r>
            <a:rPr lang="nl-NL" sz="1100">
              <a:latin typeface="Calibri" pitchFamily="34" charset="0"/>
              <a:cs typeface="Calibri" pitchFamily="34" charset="0"/>
            </a:rPr>
            <a:t>biocompatibiliteit</a:t>
          </a:r>
        </a:p>
      </dgm:t>
    </dgm:pt>
    <dgm:pt modelId="{F482A134-080D-4C79-BB3B-3CC846C43A48}" type="parTrans" cxnId="{DCCF8F16-54C9-4EC9-80DD-0806676D959F}">
      <dgm:prSet/>
      <dgm:spPr/>
      <dgm:t>
        <a:bodyPr/>
        <a:lstStyle/>
        <a:p>
          <a:endParaRPr lang="nl-NL"/>
        </a:p>
      </dgm:t>
    </dgm:pt>
    <dgm:pt modelId="{0689F1F4-FDD4-4D4A-890A-BE7FBC895D41}" type="sibTrans" cxnId="{DCCF8F16-54C9-4EC9-80DD-0806676D959F}">
      <dgm:prSet/>
      <dgm:spPr/>
      <dgm:t>
        <a:bodyPr/>
        <a:lstStyle/>
        <a:p>
          <a:endParaRPr lang="nl-NL"/>
        </a:p>
      </dgm:t>
    </dgm:pt>
    <dgm:pt modelId="{A157A1F5-406C-4DDE-9679-653B04A1117C}">
      <dgm:prSet phldrT="[Tekst]" custT="1"/>
      <dgm:spPr/>
      <dgm:t>
        <a:bodyPr/>
        <a:lstStyle/>
        <a:p>
          <a:r>
            <a:rPr lang="nl-NL" sz="1100">
              <a:latin typeface="Calibri" pitchFamily="34" charset="0"/>
              <a:cs typeface="Calibri" pitchFamily="34" charset="0"/>
            </a:rPr>
            <a:t>Technische prestatie (incusief </a:t>
          </a:r>
          <a:r>
            <a:rPr lang="nl-NL" sz="1100" i="1">
              <a:latin typeface="Calibri" pitchFamily="34" charset="0"/>
              <a:cs typeface="Calibri" pitchFamily="34" charset="0"/>
            </a:rPr>
            <a:t>in vitro/in vivo testen)</a:t>
          </a:r>
          <a:endParaRPr lang="nl-NL" sz="1100">
            <a:latin typeface="Calibri" pitchFamily="34" charset="0"/>
            <a:cs typeface="Calibri" pitchFamily="34" charset="0"/>
          </a:endParaRPr>
        </a:p>
      </dgm:t>
    </dgm:pt>
    <dgm:pt modelId="{52D68265-BA1B-44A4-8208-2C5317D5649B}" type="parTrans" cxnId="{67EC6D87-9C7C-4430-A459-8AAD43B1271A}">
      <dgm:prSet/>
      <dgm:spPr/>
      <dgm:t>
        <a:bodyPr/>
        <a:lstStyle/>
        <a:p>
          <a:endParaRPr lang="nl-NL"/>
        </a:p>
      </dgm:t>
    </dgm:pt>
    <dgm:pt modelId="{5B69792C-91CE-45B8-918C-5751B25271FF}" type="sibTrans" cxnId="{67EC6D87-9C7C-4430-A459-8AAD43B1271A}">
      <dgm:prSet/>
      <dgm:spPr/>
      <dgm:t>
        <a:bodyPr/>
        <a:lstStyle/>
        <a:p>
          <a:endParaRPr lang="nl-NL"/>
        </a:p>
      </dgm:t>
    </dgm:pt>
    <dgm:pt modelId="{E5202CFD-2534-42C1-8E7D-AFB5FEB004AF}">
      <dgm:prSet phldrT="[Tekst]" custT="1"/>
      <dgm:spPr/>
      <dgm:t>
        <a:bodyPr/>
        <a:lstStyle/>
        <a:p>
          <a:r>
            <a:rPr lang="nl-NL" sz="1100">
              <a:latin typeface="Calibri" pitchFamily="34" charset="0"/>
              <a:cs typeface="Calibri" pitchFamily="34" charset="0"/>
            </a:rPr>
            <a:t>Gebruik op patienten (alleen gedeeltelijk op gezonde vrijwilligers</a:t>
          </a:r>
        </a:p>
      </dgm:t>
    </dgm:pt>
    <dgm:pt modelId="{91DB54F5-1052-47E9-B8EE-B70C3DC9FAEB}" type="parTrans" cxnId="{111A65A4-A00B-4EE4-A3D3-8D24B5FCBAC4}">
      <dgm:prSet/>
      <dgm:spPr/>
      <dgm:t>
        <a:bodyPr/>
        <a:lstStyle/>
        <a:p>
          <a:endParaRPr lang="nl-NL"/>
        </a:p>
      </dgm:t>
    </dgm:pt>
    <dgm:pt modelId="{0ADCE7AF-FCF9-4417-BB32-A5F5199F08CA}" type="sibTrans" cxnId="{111A65A4-A00B-4EE4-A3D3-8D24B5FCBAC4}">
      <dgm:prSet/>
      <dgm:spPr/>
      <dgm:t>
        <a:bodyPr/>
        <a:lstStyle/>
        <a:p>
          <a:endParaRPr lang="nl-NL"/>
        </a:p>
      </dgm:t>
    </dgm:pt>
    <dgm:pt modelId="{481A81C9-0EE5-4811-A288-D2A09ADEF9FF}">
      <dgm:prSet phldrT="[Tekst]" custT="1"/>
      <dgm:spPr/>
      <dgm:t>
        <a:bodyPr/>
        <a:lstStyle/>
        <a:p>
          <a:r>
            <a:rPr lang="nl-NL" sz="1100">
              <a:latin typeface="Calibri" pitchFamily="34" charset="0"/>
              <a:cs typeface="Calibri" pitchFamily="34" charset="0"/>
            </a:rPr>
            <a:t>Certificatie</a:t>
          </a:r>
        </a:p>
      </dgm:t>
    </dgm:pt>
    <dgm:pt modelId="{432BFD0E-B230-42D1-8E22-B36ECF500688}" type="parTrans" cxnId="{52B7BAB9-8602-43B6-881C-11097345130B}">
      <dgm:prSet/>
      <dgm:spPr/>
      <dgm:t>
        <a:bodyPr/>
        <a:lstStyle/>
        <a:p>
          <a:endParaRPr lang="nl-NL"/>
        </a:p>
      </dgm:t>
    </dgm:pt>
    <dgm:pt modelId="{4E6A9470-F94E-47E3-8890-351D98AB60C3}" type="sibTrans" cxnId="{52B7BAB9-8602-43B6-881C-11097345130B}">
      <dgm:prSet/>
      <dgm:spPr/>
      <dgm:t>
        <a:bodyPr/>
        <a:lstStyle/>
        <a:p>
          <a:endParaRPr lang="nl-NL"/>
        </a:p>
      </dgm:t>
    </dgm:pt>
    <dgm:pt modelId="{41463C88-4B75-4F2E-BDE0-9801087BEDD1}">
      <dgm:prSet phldrT="[Tekst]" custT="1"/>
      <dgm:spPr/>
      <dgm:t>
        <a:bodyPr/>
        <a:lstStyle/>
        <a:p>
          <a:r>
            <a:rPr lang="nl-NL" sz="1100">
              <a:latin typeface="Calibri" pitchFamily="34" charset="0"/>
              <a:cs typeface="Calibri" pitchFamily="34" charset="0"/>
            </a:rPr>
            <a:t>Lange termijn observatie/PMS </a:t>
          </a:r>
          <a:br>
            <a:rPr lang="nl-NL" sz="1100">
              <a:latin typeface="Calibri" pitchFamily="34" charset="0"/>
              <a:cs typeface="Calibri" pitchFamily="34" charset="0"/>
            </a:rPr>
          </a:br>
          <a:r>
            <a:rPr lang="nl-NL" sz="1100">
              <a:latin typeface="Calibri" pitchFamily="34" charset="0"/>
              <a:cs typeface="Calibri" pitchFamily="34" charset="0"/>
            </a:rPr>
            <a:t>Post-market clinical follow-up/PMCF</a:t>
          </a:r>
        </a:p>
      </dgm:t>
    </dgm:pt>
    <dgm:pt modelId="{C03357A2-AD15-42F0-94C1-8EBA36DBCCAB}" type="parTrans" cxnId="{D2BD9608-20B4-40E8-8BFE-A71965173B45}">
      <dgm:prSet/>
      <dgm:spPr/>
      <dgm:t>
        <a:bodyPr/>
        <a:lstStyle/>
        <a:p>
          <a:endParaRPr lang="nl-NL"/>
        </a:p>
      </dgm:t>
    </dgm:pt>
    <dgm:pt modelId="{AB8B4C20-77DA-4C99-93E4-11F5CCE4A569}" type="sibTrans" cxnId="{D2BD9608-20B4-40E8-8BFE-A71965173B45}">
      <dgm:prSet/>
      <dgm:spPr/>
      <dgm:t>
        <a:bodyPr/>
        <a:lstStyle/>
        <a:p>
          <a:endParaRPr lang="nl-NL"/>
        </a:p>
      </dgm:t>
    </dgm:pt>
    <dgm:pt modelId="{69B14327-AA98-4E58-9DE1-049C73367ED9}" type="pres">
      <dgm:prSet presAssocID="{F8B57C12-0FC2-4E1F-91CB-36CCD712BFCD}" presName="linearFlow" presStyleCnt="0">
        <dgm:presLayoutVars>
          <dgm:resizeHandles val="exact"/>
        </dgm:presLayoutVars>
      </dgm:prSet>
      <dgm:spPr/>
    </dgm:pt>
    <dgm:pt modelId="{3F0D8E4A-8772-4081-BC20-030D4B216174}" type="pres">
      <dgm:prSet presAssocID="{21F4AB89-BB9A-4C21-ABCC-008B504D0AEA}" presName="node" presStyleLbl="node1" presStyleIdx="0" presStyleCnt="7" custScaleY="50835">
        <dgm:presLayoutVars>
          <dgm:bulletEnabled val="1"/>
        </dgm:presLayoutVars>
      </dgm:prSet>
      <dgm:spPr/>
      <dgm:t>
        <a:bodyPr/>
        <a:lstStyle/>
        <a:p>
          <a:endParaRPr lang="nl-NL"/>
        </a:p>
      </dgm:t>
    </dgm:pt>
    <dgm:pt modelId="{7BF356DA-BDC2-4022-9C55-DD13F851C86C}" type="pres">
      <dgm:prSet presAssocID="{4E093461-D30D-49F4-8CC3-C529F282CA1A}" presName="sibTrans" presStyleLbl="sibTrans2D1" presStyleIdx="0" presStyleCnt="6"/>
      <dgm:spPr/>
      <dgm:t>
        <a:bodyPr/>
        <a:lstStyle/>
        <a:p>
          <a:endParaRPr lang="nl-NL"/>
        </a:p>
      </dgm:t>
    </dgm:pt>
    <dgm:pt modelId="{B0EF9A8C-493B-4C3F-A0BC-6E0E2530910A}" type="pres">
      <dgm:prSet presAssocID="{4E093461-D30D-49F4-8CC3-C529F282CA1A}" presName="connectorText" presStyleLbl="sibTrans2D1" presStyleIdx="0" presStyleCnt="6"/>
      <dgm:spPr/>
      <dgm:t>
        <a:bodyPr/>
        <a:lstStyle/>
        <a:p>
          <a:endParaRPr lang="nl-NL"/>
        </a:p>
      </dgm:t>
    </dgm:pt>
    <dgm:pt modelId="{8778FEBF-5F6C-45AA-A194-C7AC5A925351}" type="pres">
      <dgm:prSet presAssocID="{BAF595FA-A3D4-4D3F-B060-D16C0BA6A56E}" presName="node" presStyleLbl="node1" presStyleIdx="1" presStyleCnt="7" custScaleY="93588">
        <dgm:presLayoutVars>
          <dgm:bulletEnabled val="1"/>
        </dgm:presLayoutVars>
      </dgm:prSet>
      <dgm:spPr/>
      <dgm:t>
        <a:bodyPr/>
        <a:lstStyle/>
        <a:p>
          <a:endParaRPr lang="nl-NL"/>
        </a:p>
      </dgm:t>
    </dgm:pt>
    <dgm:pt modelId="{D73DEB26-2678-4A35-B162-E77DEFEFFB6D}" type="pres">
      <dgm:prSet presAssocID="{8A6ADC82-767D-4F88-8F8A-068B686C6340}" presName="sibTrans" presStyleLbl="sibTrans2D1" presStyleIdx="1" presStyleCnt="6"/>
      <dgm:spPr/>
      <dgm:t>
        <a:bodyPr/>
        <a:lstStyle/>
        <a:p>
          <a:endParaRPr lang="nl-NL"/>
        </a:p>
      </dgm:t>
    </dgm:pt>
    <dgm:pt modelId="{A44D3340-FEC8-4048-9C74-B85225EEFDD7}" type="pres">
      <dgm:prSet presAssocID="{8A6ADC82-767D-4F88-8F8A-068B686C6340}" presName="connectorText" presStyleLbl="sibTrans2D1" presStyleIdx="1" presStyleCnt="6"/>
      <dgm:spPr/>
      <dgm:t>
        <a:bodyPr/>
        <a:lstStyle/>
        <a:p>
          <a:endParaRPr lang="nl-NL"/>
        </a:p>
      </dgm:t>
    </dgm:pt>
    <dgm:pt modelId="{BFE7A27F-ADC6-45C4-AA55-E30EDA470285}" type="pres">
      <dgm:prSet presAssocID="{F94D4898-0500-4AFE-BF62-0595D719817F}" presName="node" presStyleLbl="node1" presStyleIdx="2" presStyleCnt="7" custScaleY="68996">
        <dgm:presLayoutVars>
          <dgm:bulletEnabled val="1"/>
        </dgm:presLayoutVars>
      </dgm:prSet>
      <dgm:spPr/>
      <dgm:t>
        <a:bodyPr/>
        <a:lstStyle/>
        <a:p>
          <a:endParaRPr lang="nl-NL"/>
        </a:p>
      </dgm:t>
    </dgm:pt>
    <dgm:pt modelId="{EA41D5FD-F1D4-401D-96ED-3036DD271FA0}" type="pres">
      <dgm:prSet presAssocID="{0689F1F4-FDD4-4D4A-890A-BE7FBC895D41}" presName="sibTrans" presStyleLbl="sibTrans2D1" presStyleIdx="2" presStyleCnt="6"/>
      <dgm:spPr/>
      <dgm:t>
        <a:bodyPr/>
        <a:lstStyle/>
        <a:p>
          <a:endParaRPr lang="nl-NL"/>
        </a:p>
      </dgm:t>
    </dgm:pt>
    <dgm:pt modelId="{EF3C2F84-60F8-49DE-AF5E-C9CA94D2D651}" type="pres">
      <dgm:prSet presAssocID="{0689F1F4-FDD4-4D4A-890A-BE7FBC895D41}" presName="connectorText" presStyleLbl="sibTrans2D1" presStyleIdx="2" presStyleCnt="6"/>
      <dgm:spPr/>
      <dgm:t>
        <a:bodyPr/>
        <a:lstStyle/>
        <a:p>
          <a:endParaRPr lang="nl-NL"/>
        </a:p>
      </dgm:t>
    </dgm:pt>
    <dgm:pt modelId="{1FF669E4-DAD6-4EB8-8CF5-EE5C13DDCDC1}" type="pres">
      <dgm:prSet presAssocID="{A157A1F5-406C-4DDE-9679-653B04A1117C}" presName="node" presStyleLbl="node1" presStyleIdx="3" presStyleCnt="7" custScaleY="70680">
        <dgm:presLayoutVars>
          <dgm:bulletEnabled val="1"/>
        </dgm:presLayoutVars>
      </dgm:prSet>
      <dgm:spPr/>
      <dgm:t>
        <a:bodyPr/>
        <a:lstStyle/>
        <a:p>
          <a:endParaRPr lang="nl-NL"/>
        </a:p>
      </dgm:t>
    </dgm:pt>
    <dgm:pt modelId="{097F8D8E-DB5D-4B9B-95A0-8BB62839F964}" type="pres">
      <dgm:prSet presAssocID="{5B69792C-91CE-45B8-918C-5751B25271FF}" presName="sibTrans" presStyleLbl="sibTrans2D1" presStyleIdx="3" presStyleCnt="6"/>
      <dgm:spPr/>
      <dgm:t>
        <a:bodyPr/>
        <a:lstStyle/>
        <a:p>
          <a:endParaRPr lang="nl-NL"/>
        </a:p>
      </dgm:t>
    </dgm:pt>
    <dgm:pt modelId="{37FA8CE0-5B01-4BC9-99BD-E4BD338A8ABF}" type="pres">
      <dgm:prSet presAssocID="{5B69792C-91CE-45B8-918C-5751B25271FF}" presName="connectorText" presStyleLbl="sibTrans2D1" presStyleIdx="3" presStyleCnt="6"/>
      <dgm:spPr/>
      <dgm:t>
        <a:bodyPr/>
        <a:lstStyle/>
        <a:p>
          <a:endParaRPr lang="nl-NL"/>
        </a:p>
      </dgm:t>
    </dgm:pt>
    <dgm:pt modelId="{F1E5645A-0990-4E0B-81AE-E2BEFF9A4FFF}" type="pres">
      <dgm:prSet presAssocID="{E5202CFD-2534-42C1-8E7D-AFB5FEB004AF}" presName="node" presStyleLbl="node1" presStyleIdx="4" presStyleCnt="7" custScaleY="106984">
        <dgm:presLayoutVars>
          <dgm:bulletEnabled val="1"/>
        </dgm:presLayoutVars>
      </dgm:prSet>
      <dgm:spPr/>
      <dgm:t>
        <a:bodyPr/>
        <a:lstStyle/>
        <a:p>
          <a:endParaRPr lang="nl-NL"/>
        </a:p>
      </dgm:t>
    </dgm:pt>
    <dgm:pt modelId="{44B13311-DDCE-496E-BBE8-A640F3EDB8C8}" type="pres">
      <dgm:prSet presAssocID="{0ADCE7AF-FCF9-4417-BB32-A5F5199F08CA}" presName="sibTrans" presStyleLbl="sibTrans2D1" presStyleIdx="4" presStyleCnt="6"/>
      <dgm:spPr/>
      <dgm:t>
        <a:bodyPr/>
        <a:lstStyle/>
        <a:p>
          <a:endParaRPr lang="nl-NL"/>
        </a:p>
      </dgm:t>
    </dgm:pt>
    <dgm:pt modelId="{94EE14C1-C611-4E30-A7A5-C3CEE00955F2}" type="pres">
      <dgm:prSet presAssocID="{0ADCE7AF-FCF9-4417-BB32-A5F5199F08CA}" presName="connectorText" presStyleLbl="sibTrans2D1" presStyleIdx="4" presStyleCnt="6"/>
      <dgm:spPr/>
      <dgm:t>
        <a:bodyPr/>
        <a:lstStyle/>
        <a:p>
          <a:endParaRPr lang="nl-NL"/>
        </a:p>
      </dgm:t>
    </dgm:pt>
    <dgm:pt modelId="{0845B445-F618-4C3F-A67B-6D22F324930E}" type="pres">
      <dgm:prSet presAssocID="{481A81C9-0EE5-4811-A288-D2A09ADEF9FF}" presName="node" presStyleLbl="node1" presStyleIdx="5" presStyleCnt="7" custScaleY="69112">
        <dgm:presLayoutVars>
          <dgm:bulletEnabled val="1"/>
        </dgm:presLayoutVars>
      </dgm:prSet>
      <dgm:spPr/>
      <dgm:t>
        <a:bodyPr/>
        <a:lstStyle/>
        <a:p>
          <a:endParaRPr lang="nl-NL"/>
        </a:p>
      </dgm:t>
    </dgm:pt>
    <dgm:pt modelId="{E1CFBA11-344A-4B36-9199-A25806896722}" type="pres">
      <dgm:prSet presAssocID="{4E6A9470-F94E-47E3-8890-351D98AB60C3}" presName="sibTrans" presStyleLbl="sibTrans2D1" presStyleIdx="5" presStyleCnt="6"/>
      <dgm:spPr/>
      <dgm:t>
        <a:bodyPr/>
        <a:lstStyle/>
        <a:p>
          <a:endParaRPr lang="nl-NL"/>
        </a:p>
      </dgm:t>
    </dgm:pt>
    <dgm:pt modelId="{7F699D11-C52F-4FC2-8383-C297CEFF0058}" type="pres">
      <dgm:prSet presAssocID="{4E6A9470-F94E-47E3-8890-351D98AB60C3}" presName="connectorText" presStyleLbl="sibTrans2D1" presStyleIdx="5" presStyleCnt="6"/>
      <dgm:spPr/>
      <dgm:t>
        <a:bodyPr/>
        <a:lstStyle/>
        <a:p>
          <a:endParaRPr lang="nl-NL"/>
        </a:p>
      </dgm:t>
    </dgm:pt>
    <dgm:pt modelId="{6C3768DC-7EEA-4FD7-B883-D1CE98114434}" type="pres">
      <dgm:prSet presAssocID="{41463C88-4B75-4F2E-BDE0-9801087BEDD1}" presName="node" presStyleLbl="node1" presStyleIdx="6" presStyleCnt="7">
        <dgm:presLayoutVars>
          <dgm:bulletEnabled val="1"/>
        </dgm:presLayoutVars>
      </dgm:prSet>
      <dgm:spPr/>
      <dgm:t>
        <a:bodyPr/>
        <a:lstStyle/>
        <a:p>
          <a:endParaRPr lang="nl-NL"/>
        </a:p>
      </dgm:t>
    </dgm:pt>
  </dgm:ptLst>
  <dgm:cxnLst>
    <dgm:cxn modelId="{D99CB5FA-B1F6-4405-8008-0F7FFE5FBF91}" type="presOf" srcId="{0689F1F4-FDD4-4D4A-890A-BE7FBC895D41}" destId="{EA41D5FD-F1D4-401D-96ED-3036DD271FA0}" srcOrd="0" destOrd="0" presId="urn:microsoft.com/office/officeart/2005/8/layout/process2"/>
    <dgm:cxn modelId="{67EC6D87-9C7C-4430-A459-8AAD43B1271A}" srcId="{F8B57C12-0FC2-4E1F-91CB-36CCD712BFCD}" destId="{A157A1F5-406C-4DDE-9679-653B04A1117C}" srcOrd="3" destOrd="0" parTransId="{52D68265-BA1B-44A4-8208-2C5317D5649B}" sibTransId="{5B69792C-91CE-45B8-918C-5751B25271FF}"/>
    <dgm:cxn modelId="{75AFAB27-BECE-49E4-BA21-AF4974EAE0DE}" type="presOf" srcId="{481A81C9-0EE5-4811-A288-D2A09ADEF9FF}" destId="{0845B445-F618-4C3F-A67B-6D22F324930E}" srcOrd="0" destOrd="0" presId="urn:microsoft.com/office/officeart/2005/8/layout/process2"/>
    <dgm:cxn modelId="{E85133EA-72D2-44EE-9960-B6C2BC24FA97}" type="presOf" srcId="{41463C88-4B75-4F2E-BDE0-9801087BEDD1}" destId="{6C3768DC-7EEA-4FD7-B883-D1CE98114434}" srcOrd="0" destOrd="0" presId="urn:microsoft.com/office/officeart/2005/8/layout/process2"/>
    <dgm:cxn modelId="{E98BFC16-77DF-4CAB-90FD-2F75FF7124CD}" type="presOf" srcId="{4E6A9470-F94E-47E3-8890-351D98AB60C3}" destId="{7F699D11-C52F-4FC2-8383-C297CEFF0058}" srcOrd="1" destOrd="0" presId="urn:microsoft.com/office/officeart/2005/8/layout/process2"/>
    <dgm:cxn modelId="{F8EE0CE6-F027-4D95-9CC7-32C889113550}" type="presOf" srcId="{E5202CFD-2534-42C1-8E7D-AFB5FEB004AF}" destId="{F1E5645A-0990-4E0B-81AE-E2BEFF9A4FFF}" srcOrd="0" destOrd="0" presId="urn:microsoft.com/office/officeart/2005/8/layout/process2"/>
    <dgm:cxn modelId="{F83D7319-A65F-4036-A11B-FEBE34024B79}" type="presOf" srcId="{5B69792C-91CE-45B8-918C-5751B25271FF}" destId="{37FA8CE0-5B01-4BC9-99BD-E4BD338A8ABF}" srcOrd="1" destOrd="0" presId="urn:microsoft.com/office/officeart/2005/8/layout/process2"/>
    <dgm:cxn modelId="{1345104B-2DC0-4A73-89DB-AF49424AE023}" type="presOf" srcId="{4E093461-D30D-49F4-8CC3-C529F282CA1A}" destId="{7BF356DA-BDC2-4022-9C55-DD13F851C86C}" srcOrd="0" destOrd="0" presId="urn:microsoft.com/office/officeart/2005/8/layout/process2"/>
    <dgm:cxn modelId="{DC6C6537-27F5-4366-A171-F9242A89C76F}" type="presOf" srcId="{8A6ADC82-767D-4F88-8F8A-068B686C6340}" destId="{D73DEB26-2678-4A35-B162-E77DEFEFFB6D}" srcOrd="0" destOrd="0" presId="urn:microsoft.com/office/officeart/2005/8/layout/process2"/>
    <dgm:cxn modelId="{78112F4A-D38D-49D9-BC0E-04BAA19E8D94}" type="presOf" srcId="{0ADCE7AF-FCF9-4417-BB32-A5F5199F08CA}" destId="{94EE14C1-C611-4E30-A7A5-C3CEE00955F2}" srcOrd="1" destOrd="0" presId="urn:microsoft.com/office/officeart/2005/8/layout/process2"/>
    <dgm:cxn modelId="{66E17D7A-1776-4269-8076-1BD301FBD79E}" type="presOf" srcId="{BAF595FA-A3D4-4D3F-B060-D16C0BA6A56E}" destId="{8778FEBF-5F6C-45AA-A194-C7AC5A925351}" srcOrd="0" destOrd="0" presId="urn:microsoft.com/office/officeart/2005/8/layout/process2"/>
    <dgm:cxn modelId="{DCCF8F16-54C9-4EC9-80DD-0806676D959F}" srcId="{F8B57C12-0FC2-4E1F-91CB-36CCD712BFCD}" destId="{F94D4898-0500-4AFE-BF62-0595D719817F}" srcOrd="2" destOrd="0" parTransId="{F482A134-080D-4C79-BB3B-3CC846C43A48}" sibTransId="{0689F1F4-FDD4-4D4A-890A-BE7FBC895D41}"/>
    <dgm:cxn modelId="{6B281EE1-B005-4986-8AAE-970200C1274F}" type="presOf" srcId="{4E093461-D30D-49F4-8CC3-C529F282CA1A}" destId="{B0EF9A8C-493B-4C3F-A0BC-6E0E2530910A}" srcOrd="1" destOrd="0" presId="urn:microsoft.com/office/officeart/2005/8/layout/process2"/>
    <dgm:cxn modelId="{DA97C5BE-900E-4D7B-B9C4-4D473E0DF9C3}" type="presOf" srcId="{F94D4898-0500-4AFE-BF62-0595D719817F}" destId="{BFE7A27F-ADC6-45C4-AA55-E30EDA470285}" srcOrd="0" destOrd="0" presId="urn:microsoft.com/office/officeart/2005/8/layout/process2"/>
    <dgm:cxn modelId="{111A65A4-A00B-4EE4-A3D3-8D24B5FCBAC4}" srcId="{F8B57C12-0FC2-4E1F-91CB-36CCD712BFCD}" destId="{E5202CFD-2534-42C1-8E7D-AFB5FEB004AF}" srcOrd="4" destOrd="0" parTransId="{91DB54F5-1052-47E9-B8EE-B70C3DC9FAEB}" sibTransId="{0ADCE7AF-FCF9-4417-BB32-A5F5199F08CA}"/>
    <dgm:cxn modelId="{8F0CD246-963B-45A5-B518-54D70B011ADB}" type="presOf" srcId="{A157A1F5-406C-4DDE-9679-653B04A1117C}" destId="{1FF669E4-DAD6-4EB8-8CF5-EE5C13DDCDC1}" srcOrd="0" destOrd="0" presId="urn:microsoft.com/office/officeart/2005/8/layout/process2"/>
    <dgm:cxn modelId="{D2BD9608-20B4-40E8-8BFE-A71965173B45}" srcId="{F8B57C12-0FC2-4E1F-91CB-36CCD712BFCD}" destId="{41463C88-4B75-4F2E-BDE0-9801087BEDD1}" srcOrd="6" destOrd="0" parTransId="{C03357A2-AD15-42F0-94C1-8EBA36DBCCAB}" sibTransId="{AB8B4C20-77DA-4C99-93E4-11F5CCE4A569}"/>
    <dgm:cxn modelId="{11D93CDD-947B-4C47-B039-13A5A3F34436}" type="presOf" srcId="{4E6A9470-F94E-47E3-8890-351D98AB60C3}" destId="{E1CFBA11-344A-4B36-9199-A25806896722}" srcOrd="0" destOrd="0" presId="urn:microsoft.com/office/officeart/2005/8/layout/process2"/>
    <dgm:cxn modelId="{38905F0B-45EE-401E-A800-1B934DBB1CA2}" type="presOf" srcId="{8A6ADC82-767D-4F88-8F8A-068B686C6340}" destId="{A44D3340-FEC8-4048-9C74-B85225EEFDD7}" srcOrd="1" destOrd="0" presId="urn:microsoft.com/office/officeart/2005/8/layout/process2"/>
    <dgm:cxn modelId="{640447BE-80E0-4ED8-9A18-F93C353B73C4}" srcId="{F8B57C12-0FC2-4E1F-91CB-36CCD712BFCD}" destId="{BAF595FA-A3D4-4D3F-B060-D16C0BA6A56E}" srcOrd="1" destOrd="0" parTransId="{D4BCF3B8-411F-4654-92D5-44E8B5369476}" sibTransId="{8A6ADC82-767D-4F88-8F8A-068B686C6340}"/>
    <dgm:cxn modelId="{EED4F2BE-9648-4014-A8F6-104958507F8E}" type="presOf" srcId="{0689F1F4-FDD4-4D4A-890A-BE7FBC895D41}" destId="{EF3C2F84-60F8-49DE-AF5E-C9CA94D2D651}" srcOrd="1" destOrd="0" presId="urn:microsoft.com/office/officeart/2005/8/layout/process2"/>
    <dgm:cxn modelId="{171FFE3B-7496-426D-A443-4A5768C318C8}" srcId="{F8B57C12-0FC2-4E1F-91CB-36CCD712BFCD}" destId="{21F4AB89-BB9A-4C21-ABCC-008B504D0AEA}" srcOrd="0" destOrd="0" parTransId="{8E95871F-AA25-4F4F-97D5-1F5BC612371C}" sibTransId="{4E093461-D30D-49F4-8CC3-C529F282CA1A}"/>
    <dgm:cxn modelId="{A27E5DC6-CE10-49D0-BEA0-B59E7D5AEDA9}" type="presOf" srcId="{0ADCE7AF-FCF9-4417-BB32-A5F5199F08CA}" destId="{44B13311-DDCE-496E-BBE8-A640F3EDB8C8}" srcOrd="0" destOrd="0" presId="urn:microsoft.com/office/officeart/2005/8/layout/process2"/>
    <dgm:cxn modelId="{78068D09-FA8C-4166-B492-EE2FF14B0C60}" type="presOf" srcId="{5B69792C-91CE-45B8-918C-5751B25271FF}" destId="{097F8D8E-DB5D-4B9B-95A0-8BB62839F964}" srcOrd="0" destOrd="0" presId="urn:microsoft.com/office/officeart/2005/8/layout/process2"/>
    <dgm:cxn modelId="{5EFF1029-2687-4278-9DBA-2EBEBA17D2F7}" type="presOf" srcId="{21F4AB89-BB9A-4C21-ABCC-008B504D0AEA}" destId="{3F0D8E4A-8772-4081-BC20-030D4B216174}" srcOrd="0" destOrd="0" presId="urn:microsoft.com/office/officeart/2005/8/layout/process2"/>
    <dgm:cxn modelId="{6DBEF995-86F4-4FB3-AAB1-FC04D16C0DED}" type="presOf" srcId="{F8B57C12-0FC2-4E1F-91CB-36CCD712BFCD}" destId="{69B14327-AA98-4E58-9DE1-049C73367ED9}" srcOrd="0" destOrd="0" presId="urn:microsoft.com/office/officeart/2005/8/layout/process2"/>
    <dgm:cxn modelId="{52B7BAB9-8602-43B6-881C-11097345130B}" srcId="{F8B57C12-0FC2-4E1F-91CB-36CCD712BFCD}" destId="{481A81C9-0EE5-4811-A288-D2A09ADEF9FF}" srcOrd="5" destOrd="0" parTransId="{432BFD0E-B230-42D1-8E22-B36ECF500688}" sibTransId="{4E6A9470-F94E-47E3-8890-351D98AB60C3}"/>
    <dgm:cxn modelId="{038A5A89-D9B4-40DB-9DB4-80FE604C79A9}" type="presParOf" srcId="{69B14327-AA98-4E58-9DE1-049C73367ED9}" destId="{3F0D8E4A-8772-4081-BC20-030D4B216174}" srcOrd="0" destOrd="0" presId="urn:microsoft.com/office/officeart/2005/8/layout/process2"/>
    <dgm:cxn modelId="{8CE9F12E-44A8-46EF-B7DF-6418084CD1A8}" type="presParOf" srcId="{69B14327-AA98-4E58-9DE1-049C73367ED9}" destId="{7BF356DA-BDC2-4022-9C55-DD13F851C86C}" srcOrd="1" destOrd="0" presId="urn:microsoft.com/office/officeart/2005/8/layout/process2"/>
    <dgm:cxn modelId="{90B799C6-E1AD-4771-A2E7-797D19D2E751}" type="presParOf" srcId="{7BF356DA-BDC2-4022-9C55-DD13F851C86C}" destId="{B0EF9A8C-493B-4C3F-A0BC-6E0E2530910A}" srcOrd="0" destOrd="0" presId="urn:microsoft.com/office/officeart/2005/8/layout/process2"/>
    <dgm:cxn modelId="{65CEA2D9-E34A-48E1-AF58-4A224AB9FCD2}" type="presParOf" srcId="{69B14327-AA98-4E58-9DE1-049C73367ED9}" destId="{8778FEBF-5F6C-45AA-A194-C7AC5A925351}" srcOrd="2" destOrd="0" presId="urn:microsoft.com/office/officeart/2005/8/layout/process2"/>
    <dgm:cxn modelId="{DEE4EBC4-90D7-4F1A-B7A4-4815B6B43A22}" type="presParOf" srcId="{69B14327-AA98-4E58-9DE1-049C73367ED9}" destId="{D73DEB26-2678-4A35-B162-E77DEFEFFB6D}" srcOrd="3" destOrd="0" presId="urn:microsoft.com/office/officeart/2005/8/layout/process2"/>
    <dgm:cxn modelId="{8D8FE4B0-8FB4-41E5-A799-353877B8CC07}" type="presParOf" srcId="{D73DEB26-2678-4A35-B162-E77DEFEFFB6D}" destId="{A44D3340-FEC8-4048-9C74-B85225EEFDD7}" srcOrd="0" destOrd="0" presId="urn:microsoft.com/office/officeart/2005/8/layout/process2"/>
    <dgm:cxn modelId="{A7A1618C-CF04-4804-AB51-37E138E8F944}" type="presParOf" srcId="{69B14327-AA98-4E58-9DE1-049C73367ED9}" destId="{BFE7A27F-ADC6-45C4-AA55-E30EDA470285}" srcOrd="4" destOrd="0" presId="urn:microsoft.com/office/officeart/2005/8/layout/process2"/>
    <dgm:cxn modelId="{79A4F897-8CD7-47B3-AA06-53312FE129BC}" type="presParOf" srcId="{69B14327-AA98-4E58-9DE1-049C73367ED9}" destId="{EA41D5FD-F1D4-401D-96ED-3036DD271FA0}" srcOrd="5" destOrd="0" presId="urn:microsoft.com/office/officeart/2005/8/layout/process2"/>
    <dgm:cxn modelId="{742E8508-E615-48BF-B150-ED8044A4836F}" type="presParOf" srcId="{EA41D5FD-F1D4-401D-96ED-3036DD271FA0}" destId="{EF3C2F84-60F8-49DE-AF5E-C9CA94D2D651}" srcOrd="0" destOrd="0" presId="urn:microsoft.com/office/officeart/2005/8/layout/process2"/>
    <dgm:cxn modelId="{005136A3-2A74-4A12-AF67-1764266EF640}" type="presParOf" srcId="{69B14327-AA98-4E58-9DE1-049C73367ED9}" destId="{1FF669E4-DAD6-4EB8-8CF5-EE5C13DDCDC1}" srcOrd="6" destOrd="0" presId="urn:microsoft.com/office/officeart/2005/8/layout/process2"/>
    <dgm:cxn modelId="{0C698858-04FC-4C6B-A2B8-92A095FABBC5}" type="presParOf" srcId="{69B14327-AA98-4E58-9DE1-049C73367ED9}" destId="{097F8D8E-DB5D-4B9B-95A0-8BB62839F964}" srcOrd="7" destOrd="0" presId="urn:microsoft.com/office/officeart/2005/8/layout/process2"/>
    <dgm:cxn modelId="{417BE9BE-D660-4A5E-9886-BCF5AD8B0278}" type="presParOf" srcId="{097F8D8E-DB5D-4B9B-95A0-8BB62839F964}" destId="{37FA8CE0-5B01-4BC9-99BD-E4BD338A8ABF}" srcOrd="0" destOrd="0" presId="urn:microsoft.com/office/officeart/2005/8/layout/process2"/>
    <dgm:cxn modelId="{D181ECC1-A88D-4109-B5C7-F47ABC0F2285}" type="presParOf" srcId="{69B14327-AA98-4E58-9DE1-049C73367ED9}" destId="{F1E5645A-0990-4E0B-81AE-E2BEFF9A4FFF}" srcOrd="8" destOrd="0" presId="urn:microsoft.com/office/officeart/2005/8/layout/process2"/>
    <dgm:cxn modelId="{E51803DA-AC3C-429E-B697-D77084DED103}" type="presParOf" srcId="{69B14327-AA98-4E58-9DE1-049C73367ED9}" destId="{44B13311-DDCE-496E-BBE8-A640F3EDB8C8}" srcOrd="9" destOrd="0" presId="urn:microsoft.com/office/officeart/2005/8/layout/process2"/>
    <dgm:cxn modelId="{1E3E6F69-9644-4D8B-84DC-A42CA1F232B0}" type="presParOf" srcId="{44B13311-DDCE-496E-BBE8-A640F3EDB8C8}" destId="{94EE14C1-C611-4E30-A7A5-C3CEE00955F2}" srcOrd="0" destOrd="0" presId="urn:microsoft.com/office/officeart/2005/8/layout/process2"/>
    <dgm:cxn modelId="{1CC824D9-C4E7-4FD2-A60B-578E8F7EAB06}" type="presParOf" srcId="{69B14327-AA98-4E58-9DE1-049C73367ED9}" destId="{0845B445-F618-4C3F-A67B-6D22F324930E}" srcOrd="10" destOrd="0" presId="urn:microsoft.com/office/officeart/2005/8/layout/process2"/>
    <dgm:cxn modelId="{E904FEEE-94B2-4239-A718-76E0481B5B6C}" type="presParOf" srcId="{69B14327-AA98-4E58-9DE1-049C73367ED9}" destId="{E1CFBA11-344A-4B36-9199-A25806896722}" srcOrd="11" destOrd="0" presId="urn:microsoft.com/office/officeart/2005/8/layout/process2"/>
    <dgm:cxn modelId="{A7617D6D-41F0-4213-92C0-63194CF7518F}" type="presParOf" srcId="{E1CFBA11-344A-4B36-9199-A25806896722}" destId="{7F699D11-C52F-4FC2-8383-C297CEFF0058}" srcOrd="0" destOrd="0" presId="urn:microsoft.com/office/officeart/2005/8/layout/process2"/>
    <dgm:cxn modelId="{A8343256-338F-4629-B39B-4E79C76A72A6}" type="presParOf" srcId="{69B14327-AA98-4E58-9DE1-049C73367ED9}" destId="{6C3768DC-7EEA-4FD7-B883-D1CE98114434}" srcOrd="12"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B57C12-0FC2-4E1F-91CB-36CCD712BFCD}" type="doc">
      <dgm:prSet loTypeId="urn:microsoft.com/office/officeart/2005/8/layout/process2" loCatId="process" qsTypeId="urn:microsoft.com/office/officeart/2005/8/quickstyle/simple1" qsCatId="simple" csTypeId="urn:microsoft.com/office/officeart/2005/8/colors/accent1_2" csCatId="accent1" phldr="1"/>
      <dgm:spPr/>
    </dgm:pt>
    <dgm:pt modelId="{21F4AB89-BB9A-4C21-ABCC-008B504D0AEA}">
      <dgm:prSet phldrT="[Tekst]" custT="1"/>
      <dgm:spPr>
        <a:solidFill>
          <a:schemeClr val="accent4">
            <a:lumMod val="60000"/>
            <a:lumOff val="40000"/>
          </a:schemeClr>
        </a:solidFill>
      </dgm:spPr>
      <dgm:t>
        <a:bodyPr/>
        <a:lstStyle/>
        <a:p>
          <a:r>
            <a:rPr lang="nl-NL" sz="1100">
              <a:latin typeface="Calibri" pitchFamily="34" charset="0"/>
              <a:cs typeface="Calibri" pitchFamily="34" charset="0"/>
            </a:rPr>
            <a:t>Medicijnen</a:t>
          </a:r>
        </a:p>
      </dgm:t>
    </dgm:pt>
    <dgm:pt modelId="{8E95871F-AA25-4F4F-97D5-1F5BC612371C}" type="parTrans" cxnId="{171FFE3B-7496-426D-A443-4A5768C318C8}">
      <dgm:prSet/>
      <dgm:spPr/>
      <dgm:t>
        <a:bodyPr/>
        <a:lstStyle/>
        <a:p>
          <a:endParaRPr lang="nl-NL"/>
        </a:p>
      </dgm:t>
    </dgm:pt>
    <dgm:pt modelId="{4E093461-D30D-49F4-8CC3-C529F282CA1A}" type="sibTrans" cxnId="{171FFE3B-7496-426D-A443-4A5768C318C8}">
      <dgm:prSet/>
      <dgm:spPr/>
      <dgm:t>
        <a:bodyPr/>
        <a:lstStyle/>
        <a:p>
          <a:endParaRPr lang="nl-NL"/>
        </a:p>
      </dgm:t>
    </dgm:pt>
    <dgm:pt modelId="{F94D4898-0500-4AFE-BF62-0595D719817F}">
      <dgm:prSet phldrT="[Tekst]" custT="1"/>
      <dgm:spPr/>
      <dgm:t>
        <a:bodyPr/>
        <a:lstStyle/>
        <a:p>
          <a:r>
            <a:rPr lang="nl-NL" sz="1100">
              <a:latin typeface="Calibri" pitchFamily="34" charset="0"/>
              <a:cs typeface="Calibri" pitchFamily="34" charset="0"/>
            </a:rPr>
            <a:t>Technische ontwikkeling, productie</a:t>
          </a:r>
        </a:p>
      </dgm:t>
    </dgm:pt>
    <dgm:pt modelId="{F482A134-080D-4C79-BB3B-3CC846C43A48}" type="parTrans" cxnId="{DCCF8F16-54C9-4EC9-80DD-0806676D959F}">
      <dgm:prSet/>
      <dgm:spPr/>
      <dgm:t>
        <a:bodyPr/>
        <a:lstStyle/>
        <a:p>
          <a:endParaRPr lang="nl-NL"/>
        </a:p>
      </dgm:t>
    </dgm:pt>
    <dgm:pt modelId="{0689F1F4-FDD4-4D4A-890A-BE7FBC895D41}" type="sibTrans" cxnId="{DCCF8F16-54C9-4EC9-80DD-0806676D959F}">
      <dgm:prSet/>
      <dgm:spPr/>
      <dgm:t>
        <a:bodyPr/>
        <a:lstStyle/>
        <a:p>
          <a:endParaRPr lang="nl-NL"/>
        </a:p>
      </dgm:t>
    </dgm:pt>
    <dgm:pt modelId="{E5202CFD-2534-42C1-8E7D-AFB5FEB004AF}">
      <dgm:prSet phldrT="[Tekst]" custT="1"/>
      <dgm:spPr/>
      <dgm:t>
        <a:bodyPr/>
        <a:lstStyle/>
        <a:p>
          <a:r>
            <a:rPr lang="nl-NL" sz="1100">
              <a:latin typeface="Calibri" pitchFamily="34" charset="0"/>
              <a:cs typeface="Calibri" pitchFamily="34" charset="0"/>
            </a:rPr>
            <a:t>Farmacokinetiek, farmacodynamiek</a:t>
          </a:r>
        </a:p>
      </dgm:t>
    </dgm:pt>
    <dgm:pt modelId="{91DB54F5-1052-47E9-B8EE-B70C3DC9FAEB}" type="parTrans" cxnId="{111A65A4-A00B-4EE4-A3D3-8D24B5FCBAC4}">
      <dgm:prSet/>
      <dgm:spPr/>
      <dgm:t>
        <a:bodyPr/>
        <a:lstStyle/>
        <a:p>
          <a:endParaRPr lang="nl-NL"/>
        </a:p>
      </dgm:t>
    </dgm:pt>
    <dgm:pt modelId="{0ADCE7AF-FCF9-4417-BB32-A5F5199F08CA}" type="sibTrans" cxnId="{111A65A4-A00B-4EE4-A3D3-8D24B5FCBAC4}">
      <dgm:prSet/>
      <dgm:spPr/>
      <dgm:t>
        <a:bodyPr/>
        <a:lstStyle/>
        <a:p>
          <a:endParaRPr lang="nl-NL"/>
        </a:p>
      </dgm:t>
    </dgm:pt>
    <dgm:pt modelId="{FE12CB51-739A-4EEF-9524-8D35A08A88DD}">
      <dgm:prSet phldrT="[Tekst]" custT="1"/>
      <dgm:spPr/>
      <dgm:t>
        <a:bodyPr/>
        <a:lstStyle/>
        <a:p>
          <a:r>
            <a:rPr lang="nl-NL" sz="1100">
              <a:latin typeface="Calibri" pitchFamily="34" charset="0"/>
              <a:cs typeface="Calibri" pitchFamily="34" charset="0"/>
            </a:rPr>
            <a:t>Toxicologie</a:t>
          </a:r>
        </a:p>
      </dgm:t>
    </dgm:pt>
    <dgm:pt modelId="{8E040D4F-DB05-469F-8EE9-7E9A6EED776D}" type="parTrans" cxnId="{90E04E47-F325-45FB-A7F8-321090AA1ACE}">
      <dgm:prSet/>
      <dgm:spPr/>
      <dgm:t>
        <a:bodyPr/>
        <a:lstStyle/>
        <a:p>
          <a:endParaRPr lang="nl-NL"/>
        </a:p>
      </dgm:t>
    </dgm:pt>
    <dgm:pt modelId="{D0A16430-BD81-4C9D-B096-053236470C05}" type="sibTrans" cxnId="{90E04E47-F325-45FB-A7F8-321090AA1ACE}">
      <dgm:prSet/>
      <dgm:spPr/>
      <dgm:t>
        <a:bodyPr/>
        <a:lstStyle/>
        <a:p>
          <a:endParaRPr lang="nl-NL"/>
        </a:p>
      </dgm:t>
    </dgm:pt>
    <dgm:pt modelId="{A73FEEAB-DA06-4C7A-B2D2-4AFE48BAA6DB}">
      <dgm:prSet phldrT="[Tekst]" custT="1"/>
      <dgm:spPr/>
      <dgm:t>
        <a:bodyPr/>
        <a:lstStyle/>
        <a:p>
          <a:r>
            <a:rPr lang="nl-NL" sz="1100">
              <a:latin typeface="Calibri" pitchFamily="34" charset="0"/>
              <a:cs typeface="Calibri" pitchFamily="34" charset="0"/>
            </a:rPr>
            <a:t>Gebruik op gezonde vrijwilligers/patiënten (fase I-III)</a:t>
          </a:r>
        </a:p>
      </dgm:t>
    </dgm:pt>
    <dgm:pt modelId="{B98E0CDF-729F-4402-B8DB-153105E81CB8}" type="parTrans" cxnId="{B01D0D1A-5AF8-47F9-889F-4031534E2790}">
      <dgm:prSet/>
      <dgm:spPr/>
      <dgm:t>
        <a:bodyPr/>
        <a:lstStyle/>
        <a:p>
          <a:endParaRPr lang="nl-NL"/>
        </a:p>
      </dgm:t>
    </dgm:pt>
    <dgm:pt modelId="{3E4B031F-7249-445A-9B07-0ECE8651EC62}" type="sibTrans" cxnId="{B01D0D1A-5AF8-47F9-889F-4031534E2790}">
      <dgm:prSet/>
      <dgm:spPr/>
      <dgm:t>
        <a:bodyPr/>
        <a:lstStyle/>
        <a:p>
          <a:endParaRPr lang="nl-NL"/>
        </a:p>
      </dgm:t>
    </dgm:pt>
    <dgm:pt modelId="{C26586B1-7CCF-4888-BBDF-FE98D4E0795C}">
      <dgm:prSet phldrT="[Tekst]" custT="1"/>
      <dgm:spPr/>
      <dgm:t>
        <a:bodyPr/>
        <a:lstStyle/>
        <a:p>
          <a:r>
            <a:rPr lang="nl-NL" sz="1100">
              <a:latin typeface="Calibri" pitchFamily="34" charset="0"/>
              <a:cs typeface="Calibri" pitchFamily="34" charset="0"/>
            </a:rPr>
            <a:t>Registratie</a:t>
          </a:r>
        </a:p>
      </dgm:t>
    </dgm:pt>
    <dgm:pt modelId="{346E8996-6A8C-44CD-AAD4-9714E49DCB24}" type="parTrans" cxnId="{2EDEEF8C-1B22-460B-B501-88D49ECB6484}">
      <dgm:prSet/>
      <dgm:spPr/>
      <dgm:t>
        <a:bodyPr/>
        <a:lstStyle/>
        <a:p>
          <a:endParaRPr lang="nl-NL"/>
        </a:p>
      </dgm:t>
    </dgm:pt>
    <dgm:pt modelId="{718276AF-E99A-4F0B-8DBF-4515ADC099EA}" type="sibTrans" cxnId="{2EDEEF8C-1B22-460B-B501-88D49ECB6484}">
      <dgm:prSet/>
      <dgm:spPr/>
      <dgm:t>
        <a:bodyPr/>
        <a:lstStyle/>
        <a:p>
          <a:endParaRPr lang="nl-NL"/>
        </a:p>
      </dgm:t>
    </dgm:pt>
    <dgm:pt modelId="{6F1E9878-8ED8-4C7E-9C81-749E2EA5A3D9}">
      <dgm:prSet phldrT="[Tekst]" custT="1"/>
      <dgm:spPr/>
      <dgm:t>
        <a:bodyPr/>
        <a:lstStyle/>
        <a:p>
          <a:r>
            <a:rPr lang="nl-NL" sz="1100">
              <a:latin typeface="Calibri" pitchFamily="34" charset="0"/>
              <a:cs typeface="Calibri" pitchFamily="34" charset="0"/>
            </a:rPr>
            <a:t>Markttoezicht fase IV</a:t>
          </a:r>
        </a:p>
      </dgm:t>
    </dgm:pt>
    <dgm:pt modelId="{D14A58B9-F116-4E9E-924B-481BFD3D83E9}" type="parTrans" cxnId="{F8920844-89B3-496A-A4CF-83047DB5B804}">
      <dgm:prSet/>
      <dgm:spPr/>
      <dgm:t>
        <a:bodyPr/>
        <a:lstStyle/>
        <a:p>
          <a:endParaRPr lang="nl-NL"/>
        </a:p>
      </dgm:t>
    </dgm:pt>
    <dgm:pt modelId="{A0BA2002-4AF9-4976-98DA-BE9F1D4F3BAF}" type="sibTrans" cxnId="{F8920844-89B3-496A-A4CF-83047DB5B804}">
      <dgm:prSet/>
      <dgm:spPr/>
      <dgm:t>
        <a:bodyPr/>
        <a:lstStyle/>
        <a:p>
          <a:endParaRPr lang="nl-NL"/>
        </a:p>
      </dgm:t>
    </dgm:pt>
    <dgm:pt modelId="{69B14327-AA98-4E58-9DE1-049C73367ED9}" type="pres">
      <dgm:prSet presAssocID="{F8B57C12-0FC2-4E1F-91CB-36CCD712BFCD}" presName="linearFlow" presStyleCnt="0">
        <dgm:presLayoutVars>
          <dgm:resizeHandles val="exact"/>
        </dgm:presLayoutVars>
      </dgm:prSet>
      <dgm:spPr/>
    </dgm:pt>
    <dgm:pt modelId="{3F0D8E4A-8772-4081-BC20-030D4B216174}" type="pres">
      <dgm:prSet presAssocID="{21F4AB89-BB9A-4C21-ABCC-008B504D0AEA}" presName="node" presStyleLbl="node1" presStyleIdx="0" presStyleCnt="7" custScaleY="47988">
        <dgm:presLayoutVars>
          <dgm:bulletEnabled val="1"/>
        </dgm:presLayoutVars>
      </dgm:prSet>
      <dgm:spPr/>
      <dgm:t>
        <a:bodyPr/>
        <a:lstStyle/>
        <a:p>
          <a:endParaRPr lang="nl-NL"/>
        </a:p>
      </dgm:t>
    </dgm:pt>
    <dgm:pt modelId="{7BF356DA-BDC2-4022-9C55-DD13F851C86C}" type="pres">
      <dgm:prSet presAssocID="{4E093461-D30D-49F4-8CC3-C529F282CA1A}" presName="sibTrans" presStyleLbl="sibTrans2D1" presStyleIdx="0" presStyleCnt="6"/>
      <dgm:spPr/>
      <dgm:t>
        <a:bodyPr/>
        <a:lstStyle/>
        <a:p>
          <a:endParaRPr lang="nl-NL"/>
        </a:p>
      </dgm:t>
    </dgm:pt>
    <dgm:pt modelId="{B0EF9A8C-493B-4C3F-A0BC-6E0E2530910A}" type="pres">
      <dgm:prSet presAssocID="{4E093461-D30D-49F4-8CC3-C529F282CA1A}" presName="connectorText" presStyleLbl="sibTrans2D1" presStyleIdx="0" presStyleCnt="6"/>
      <dgm:spPr/>
      <dgm:t>
        <a:bodyPr/>
        <a:lstStyle/>
        <a:p>
          <a:endParaRPr lang="nl-NL"/>
        </a:p>
      </dgm:t>
    </dgm:pt>
    <dgm:pt modelId="{BFE7A27F-ADC6-45C4-AA55-E30EDA470285}" type="pres">
      <dgm:prSet presAssocID="{F94D4898-0500-4AFE-BF62-0595D719817F}" presName="node" presStyleLbl="node1" presStyleIdx="1" presStyleCnt="7" custScaleY="99976">
        <dgm:presLayoutVars>
          <dgm:bulletEnabled val="1"/>
        </dgm:presLayoutVars>
      </dgm:prSet>
      <dgm:spPr/>
      <dgm:t>
        <a:bodyPr/>
        <a:lstStyle/>
        <a:p>
          <a:endParaRPr lang="nl-NL"/>
        </a:p>
      </dgm:t>
    </dgm:pt>
    <dgm:pt modelId="{EA41D5FD-F1D4-401D-96ED-3036DD271FA0}" type="pres">
      <dgm:prSet presAssocID="{0689F1F4-FDD4-4D4A-890A-BE7FBC895D41}" presName="sibTrans" presStyleLbl="sibTrans2D1" presStyleIdx="1" presStyleCnt="6"/>
      <dgm:spPr/>
      <dgm:t>
        <a:bodyPr/>
        <a:lstStyle/>
        <a:p>
          <a:endParaRPr lang="nl-NL"/>
        </a:p>
      </dgm:t>
    </dgm:pt>
    <dgm:pt modelId="{EF3C2F84-60F8-49DE-AF5E-C9CA94D2D651}" type="pres">
      <dgm:prSet presAssocID="{0689F1F4-FDD4-4D4A-890A-BE7FBC895D41}" presName="connectorText" presStyleLbl="sibTrans2D1" presStyleIdx="1" presStyleCnt="6"/>
      <dgm:spPr/>
      <dgm:t>
        <a:bodyPr/>
        <a:lstStyle/>
        <a:p>
          <a:endParaRPr lang="nl-NL"/>
        </a:p>
      </dgm:t>
    </dgm:pt>
    <dgm:pt modelId="{23EC679A-E184-47D1-AC12-3A0CEF248EC6}" type="pres">
      <dgm:prSet presAssocID="{FE12CB51-739A-4EEF-9524-8D35A08A88DD}" presName="node" presStyleLbl="node1" presStyleIdx="2" presStyleCnt="7" custScaleY="65636">
        <dgm:presLayoutVars>
          <dgm:bulletEnabled val="1"/>
        </dgm:presLayoutVars>
      </dgm:prSet>
      <dgm:spPr/>
      <dgm:t>
        <a:bodyPr/>
        <a:lstStyle/>
        <a:p>
          <a:endParaRPr lang="nl-NL"/>
        </a:p>
      </dgm:t>
    </dgm:pt>
    <dgm:pt modelId="{454BE94C-F26A-46D9-B09C-BE07050D6DE5}" type="pres">
      <dgm:prSet presAssocID="{D0A16430-BD81-4C9D-B096-053236470C05}" presName="sibTrans" presStyleLbl="sibTrans2D1" presStyleIdx="2" presStyleCnt="6"/>
      <dgm:spPr/>
      <dgm:t>
        <a:bodyPr/>
        <a:lstStyle/>
        <a:p>
          <a:endParaRPr lang="nl-NL"/>
        </a:p>
      </dgm:t>
    </dgm:pt>
    <dgm:pt modelId="{788B3633-70C7-4284-9025-305652958744}" type="pres">
      <dgm:prSet presAssocID="{D0A16430-BD81-4C9D-B096-053236470C05}" presName="connectorText" presStyleLbl="sibTrans2D1" presStyleIdx="2" presStyleCnt="6"/>
      <dgm:spPr/>
      <dgm:t>
        <a:bodyPr/>
        <a:lstStyle/>
        <a:p>
          <a:endParaRPr lang="nl-NL"/>
        </a:p>
      </dgm:t>
    </dgm:pt>
    <dgm:pt modelId="{F1E5645A-0990-4E0B-81AE-E2BEFF9A4FFF}" type="pres">
      <dgm:prSet presAssocID="{E5202CFD-2534-42C1-8E7D-AFB5FEB004AF}" presName="node" presStyleLbl="node1" presStyleIdx="3" presStyleCnt="7" custScaleY="67502">
        <dgm:presLayoutVars>
          <dgm:bulletEnabled val="1"/>
        </dgm:presLayoutVars>
      </dgm:prSet>
      <dgm:spPr/>
      <dgm:t>
        <a:bodyPr/>
        <a:lstStyle/>
        <a:p>
          <a:endParaRPr lang="nl-NL"/>
        </a:p>
      </dgm:t>
    </dgm:pt>
    <dgm:pt modelId="{44B13311-DDCE-496E-BBE8-A640F3EDB8C8}" type="pres">
      <dgm:prSet presAssocID="{0ADCE7AF-FCF9-4417-BB32-A5F5199F08CA}" presName="sibTrans" presStyleLbl="sibTrans2D1" presStyleIdx="3" presStyleCnt="6"/>
      <dgm:spPr/>
      <dgm:t>
        <a:bodyPr/>
        <a:lstStyle/>
        <a:p>
          <a:endParaRPr lang="nl-NL"/>
        </a:p>
      </dgm:t>
    </dgm:pt>
    <dgm:pt modelId="{94EE14C1-C611-4E30-A7A5-C3CEE00955F2}" type="pres">
      <dgm:prSet presAssocID="{0ADCE7AF-FCF9-4417-BB32-A5F5199F08CA}" presName="connectorText" presStyleLbl="sibTrans2D1" presStyleIdx="3" presStyleCnt="6"/>
      <dgm:spPr/>
      <dgm:t>
        <a:bodyPr/>
        <a:lstStyle/>
        <a:p>
          <a:endParaRPr lang="nl-NL"/>
        </a:p>
      </dgm:t>
    </dgm:pt>
    <dgm:pt modelId="{D5893093-A750-40B6-B5C9-1802E73AB23E}" type="pres">
      <dgm:prSet presAssocID="{A73FEEAB-DA06-4C7A-B2D2-4AFE48BAA6DB}" presName="node" presStyleLbl="node1" presStyleIdx="4" presStyleCnt="7" custScaleY="89462">
        <dgm:presLayoutVars>
          <dgm:bulletEnabled val="1"/>
        </dgm:presLayoutVars>
      </dgm:prSet>
      <dgm:spPr/>
      <dgm:t>
        <a:bodyPr/>
        <a:lstStyle/>
        <a:p>
          <a:endParaRPr lang="nl-NL"/>
        </a:p>
      </dgm:t>
    </dgm:pt>
    <dgm:pt modelId="{1C31DA64-84F6-4693-9A2D-F14782B1BBB5}" type="pres">
      <dgm:prSet presAssocID="{3E4B031F-7249-445A-9B07-0ECE8651EC62}" presName="sibTrans" presStyleLbl="sibTrans2D1" presStyleIdx="4" presStyleCnt="6"/>
      <dgm:spPr/>
      <dgm:t>
        <a:bodyPr/>
        <a:lstStyle/>
        <a:p>
          <a:endParaRPr lang="nl-NL"/>
        </a:p>
      </dgm:t>
    </dgm:pt>
    <dgm:pt modelId="{DA1377A1-36DE-4A05-AA72-5FE03F05D704}" type="pres">
      <dgm:prSet presAssocID="{3E4B031F-7249-445A-9B07-0ECE8651EC62}" presName="connectorText" presStyleLbl="sibTrans2D1" presStyleIdx="4" presStyleCnt="6"/>
      <dgm:spPr/>
      <dgm:t>
        <a:bodyPr/>
        <a:lstStyle/>
        <a:p>
          <a:endParaRPr lang="nl-NL"/>
        </a:p>
      </dgm:t>
    </dgm:pt>
    <dgm:pt modelId="{69C0108A-AC9B-43E4-91DD-12FADB6A7BAB}" type="pres">
      <dgm:prSet presAssocID="{C26586B1-7CCF-4888-BBDF-FE98D4E0795C}" presName="node" presStyleLbl="node1" presStyleIdx="5" presStyleCnt="7" custScaleY="66632">
        <dgm:presLayoutVars>
          <dgm:bulletEnabled val="1"/>
        </dgm:presLayoutVars>
      </dgm:prSet>
      <dgm:spPr/>
      <dgm:t>
        <a:bodyPr/>
        <a:lstStyle/>
        <a:p>
          <a:endParaRPr lang="nl-NL"/>
        </a:p>
      </dgm:t>
    </dgm:pt>
    <dgm:pt modelId="{F1825427-83B1-4BC0-804B-B51DBEFDFFF0}" type="pres">
      <dgm:prSet presAssocID="{718276AF-E99A-4F0B-8DBF-4515ADC099EA}" presName="sibTrans" presStyleLbl="sibTrans2D1" presStyleIdx="5" presStyleCnt="6"/>
      <dgm:spPr/>
      <dgm:t>
        <a:bodyPr/>
        <a:lstStyle/>
        <a:p>
          <a:endParaRPr lang="nl-NL"/>
        </a:p>
      </dgm:t>
    </dgm:pt>
    <dgm:pt modelId="{C83507DE-2DEB-4BFF-A423-C24CB9F10EB6}" type="pres">
      <dgm:prSet presAssocID="{718276AF-E99A-4F0B-8DBF-4515ADC099EA}" presName="connectorText" presStyleLbl="sibTrans2D1" presStyleIdx="5" presStyleCnt="6"/>
      <dgm:spPr/>
      <dgm:t>
        <a:bodyPr/>
        <a:lstStyle/>
        <a:p>
          <a:endParaRPr lang="nl-NL"/>
        </a:p>
      </dgm:t>
    </dgm:pt>
    <dgm:pt modelId="{2BE2E32F-1F0D-497A-B09D-9A6C06973824}" type="pres">
      <dgm:prSet presAssocID="{6F1E9878-8ED8-4C7E-9C81-749E2EA5A3D9}" presName="node" presStyleLbl="node1" presStyleIdx="6" presStyleCnt="7">
        <dgm:presLayoutVars>
          <dgm:bulletEnabled val="1"/>
        </dgm:presLayoutVars>
      </dgm:prSet>
      <dgm:spPr/>
      <dgm:t>
        <a:bodyPr/>
        <a:lstStyle/>
        <a:p>
          <a:endParaRPr lang="nl-NL"/>
        </a:p>
      </dgm:t>
    </dgm:pt>
  </dgm:ptLst>
  <dgm:cxnLst>
    <dgm:cxn modelId="{48477824-4BB5-4478-BDCD-4FB699F811A7}" type="presOf" srcId="{C26586B1-7CCF-4888-BBDF-FE98D4E0795C}" destId="{69C0108A-AC9B-43E4-91DD-12FADB6A7BAB}" srcOrd="0" destOrd="0" presId="urn:microsoft.com/office/officeart/2005/8/layout/process2"/>
    <dgm:cxn modelId="{6C98C476-C7AE-443E-B955-BFDB4F842DA8}" type="presOf" srcId="{3E4B031F-7249-445A-9B07-0ECE8651EC62}" destId="{DA1377A1-36DE-4A05-AA72-5FE03F05D704}" srcOrd="1" destOrd="0" presId="urn:microsoft.com/office/officeart/2005/8/layout/process2"/>
    <dgm:cxn modelId="{FD82C2A8-D901-4D31-899C-5354753F96A7}" type="presOf" srcId="{6F1E9878-8ED8-4C7E-9C81-749E2EA5A3D9}" destId="{2BE2E32F-1F0D-497A-B09D-9A6C06973824}" srcOrd="0" destOrd="0" presId="urn:microsoft.com/office/officeart/2005/8/layout/process2"/>
    <dgm:cxn modelId="{76037E5B-3833-4DFB-B3C3-3151F079FAEE}" type="presOf" srcId="{A73FEEAB-DA06-4C7A-B2D2-4AFE48BAA6DB}" destId="{D5893093-A750-40B6-B5C9-1802E73AB23E}" srcOrd="0" destOrd="0" presId="urn:microsoft.com/office/officeart/2005/8/layout/process2"/>
    <dgm:cxn modelId="{AC42933F-A152-4E85-AE82-6694FAF41F52}" type="presOf" srcId="{4E093461-D30D-49F4-8CC3-C529F282CA1A}" destId="{7BF356DA-BDC2-4022-9C55-DD13F851C86C}" srcOrd="0" destOrd="0" presId="urn:microsoft.com/office/officeart/2005/8/layout/process2"/>
    <dgm:cxn modelId="{B01D0D1A-5AF8-47F9-889F-4031534E2790}" srcId="{F8B57C12-0FC2-4E1F-91CB-36CCD712BFCD}" destId="{A73FEEAB-DA06-4C7A-B2D2-4AFE48BAA6DB}" srcOrd="4" destOrd="0" parTransId="{B98E0CDF-729F-4402-B8DB-153105E81CB8}" sibTransId="{3E4B031F-7249-445A-9B07-0ECE8651EC62}"/>
    <dgm:cxn modelId="{BCD36FB7-30AF-41F6-955E-731EFFD07B87}" type="presOf" srcId="{0ADCE7AF-FCF9-4417-BB32-A5F5199F08CA}" destId="{94EE14C1-C611-4E30-A7A5-C3CEE00955F2}" srcOrd="1" destOrd="0" presId="urn:microsoft.com/office/officeart/2005/8/layout/process2"/>
    <dgm:cxn modelId="{54349F54-F5DC-4604-8AE3-BBF6166D8FA4}" type="presOf" srcId="{21F4AB89-BB9A-4C21-ABCC-008B504D0AEA}" destId="{3F0D8E4A-8772-4081-BC20-030D4B216174}" srcOrd="0" destOrd="0" presId="urn:microsoft.com/office/officeart/2005/8/layout/process2"/>
    <dgm:cxn modelId="{C9FFD86D-2A36-4CA3-9E45-473BE685CFB7}" type="presOf" srcId="{E5202CFD-2534-42C1-8E7D-AFB5FEB004AF}" destId="{F1E5645A-0990-4E0B-81AE-E2BEFF9A4FFF}" srcOrd="0" destOrd="0" presId="urn:microsoft.com/office/officeart/2005/8/layout/process2"/>
    <dgm:cxn modelId="{90E04E47-F325-45FB-A7F8-321090AA1ACE}" srcId="{F8B57C12-0FC2-4E1F-91CB-36CCD712BFCD}" destId="{FE12CB51-739A-4EEF-9524-8D35A08A88DD}" srcOrd="2" destOrd="0" parTransId="{8E040D4F-DB05-469F-8EE9-7E9A6EED776D}" sibTransId="{D0A16430-BD81-4C9D-B096-053236470C05}"/>
    <dgm:cxn modelId="{46EE42DE-D887-4704-BB30-0AAD51CF881A}" type="presOf" srcId="{0689F1F4-FDD4-4D4A-890A-BE7FBC895D41}" destId="{EF3C2F84-60F8-49DE-AF5E-C9CA94D2D651}" srcOrd="1" destOrd="0" presId="urn:microsoft.com/office/officeart/2005/8/layout/process2"/>
    <dgm:cxn modelId="{DCCF8F16-54C9-4EC9-80DD-0806676D959F}" srcId="{F8B57C12-0FC2-4E1F-91CB-36CCD712BFCD}" destId="{F94D4898-0500-4AFE-BF62-0595D719817F}" srcOrd="1" destOrd="0" parTransId="{F482A134-080D-4C79-BB3B-3CC846C43A48}" sibTransId="{0689F1F4-FDD4-4D4A-890A-BE7FBC895D41}"/>
    <dgm:cxn modelId="{111A65A4-A00B-4EE4-A3D3-8D24B5FCBAC4}" srcId="{F8B57C12-0FC2-4E1F-91CB-36CCD712BFCD}" destId="{E5202CFD-2534-42C1-8E7D-AFB5FEB004AF}" srcOrd="3" destOrd="0" parTransId="{91DB54F5-1052-47E9-B8EE-B70C3DC9FAEB}" sibTransId="{0ADCE7AF-FCF9-4417-BB32-A5F5199F08CA}"/>
    <dgm:cxn modelId="{732E892D-F4A8-4D4C-9935-C867FDA1DB23}" type="presOf" srcId="{4E093461-D30D-49F4-8CC3-C529F282CA1A}" destId="{B0EF9A8C-493B-4C3F-A0BC-6E0E2530910A}" srcOrd="1" destOrd="0" presId="urn:microsoft.com/office/officeart/2005/8/layout/process2"/>
    <dgm:cxn modelId="{DDDA0D86-5821-402F-915C-26BBC76E7FEF}" type="presOf" srcId="{718276AF-E99A-4F0B-8DBF-4515ADC099EA}" destId="{F1825427-83B1-4BC0-804B-B51DBEFDFFF0}" srcOrd="0" destOrd="0" presId="urn:microsoft.com/office/officeart/2005/8/layout/process2"/>
    <dgm:cxn modelId="{285C428E-B02F-4A21-8112-933FB2EFBF60}" type="presOf" srcId="{0689F1F4-FDD4-4D4A-890A-BE7FBC895D41}" destId="{EA41D5FD-F1D4-401D-96ED-3036DD271FA0}" srcOrd="0" destOrd="0" presId="urn:microsoft.com/office/officeart/2005/8/layout/process2"/>
    <dgm:cxn modelId="{DB0A42E6-2BDB-46F6-8837-73C72A4FB6EF}" type="presOf" srcId="{D0A16430-BD81-4C9D-B096-053236470C05}" destId="{454BE94C-F26A-46D9-B09C-BE07050D6DE5}" srcOrd="0" destOrd="0" presId="urn:microsoft.com/office/officeart/2005/8/layout/process2"/>
    <dgm:cxn modelId="{F8920844-89B3-496A-A4CF-83047DB5B804}" srcId="{F8B57C12-0FC2-4E1F-91CB-36CCD712BFCD}" destId="{6F1E9878-8ED8-4C7E-9C81-749E2EA5A3D9}" srcOrd="6" destOrd="0" parTransId="{D14A58B9-F116-4E9E-924B-481BFD3D83E9}" sibTransId="{A0BA2002-4AF9-4976-98DA-BE9F1D4F3BAF}"/>
    <dgm:cxn modelId="{2F1DA39F-6ADD-4510-B5C6-802BE3C06215}" type="presOf" srcId="{718276AF-E99A-4F0B-8DBF-4515ADC099EA}" destId="{C83507DE-2DEB-4BFF-A423-C24CB9F10EB6}" srcOrd="1" destOrd="0" presId="urn:microsoft.com/office/officeart/2005/8/layout/process2"/>
    <dgm:cxn modelId="{723463EB-A03B-420F-BA75-544B17B6CFEE}" type="presOf" srcId="{FE12CB51-739A-4EEF-9524-8D35A08A88DD}" destId="{23EC679A-E184-47D1-AC12-3A0CEF248EC6}" srcOrd="0" destOrd="0" presId="urn:microsoft.com/office/officeart/2005/8/layout/process2"/>
    <dgm:cxn modelId="{904A1244-D927-4E35-B8C5-B8F72C1D9478}" type="presOf" srcId="{3E4B031F-7249-445A-9B07-0ECE8651EC62}" destId="{1C31DA64-84F6-4693-9A2D-F14782B1BBB5}" srcOrd="0" destOrd="0" presId="urn:microsoft.com/office/officeart/2005/8/layout/process2"/>
    <dgm:cxn modelId="{CB6D8E56-122A-4B7F-A271-085C4A773263}" type="presOf" srcId="{0ADCE7AF-FCF9-4417-BB32-A5F5199F08CA}" destId="{44B13311-DDCE-496E-BBE8-A640F3EDB8C8}" srcOrd="0" destOrd="0" presId="urn:microsoft.com/office/officeart/2005/8/layout/process2"/>
    <dgm:cxn modelId="{2EDEEF8C-1B22-460B-B501-88D49ECB6484}" srcId="{F8B57C12-0FC2-4E1F-91CB-36CCD712BFCD}" destId="{C26586B1-7CCF-4888-BBDF-FE98D4E0795C}" srcOrd="5" destOrd="0" parTransId="{346E8996-6A8C-44CD-AAD4-9714E49DCB24}" sibTransId="{718276AF-E99A-4F0B-8DBF-4515ADC099EA}"/>
    <dgm:cxn modelId="{171FFE3B-7496-426D-A443-4A5768C318C8}" srcId="{F8B57C12-0FC2-4E1F-91CB-36CCD712BFCD}" destId="{21F4AB89-BB9A-4C21-ABCC-008B504D0AEA}" srcOrd="0" destOrd="0" parTransId="{8E95871F-AA25-4F4F-97D5-1F5BC612371C}" sibTransId="{4E093461-D30D-49F4-8CC3-C529F282CA1A}"/>
    <dgm:cxn modelId="{0BF145CA-6F00-4DA2-956D-331EC560202D}" type="presOf" srcId="{D0A16430-BD81-4C9D-B096-053236470C05}" destId="{788B3633-70C7-4284-9025-305652958744}" srcOrd="1" destOrd="0" presId="urn:microsoft.com/office/officeart/2005/8/layout/process2"/>
    <dgm:cxn modelId="{3B09175D-3961-4673-A3E0-998211D0CE43}" type="presOf" srcId="{F94D4898-0500-4AFE-BF62-0595D719817F}" destId="{BFE7A27F-ADC6-45C4-AA55-E30EDA470285}" srcOrd="0" destOrd="0" presId="urn:microsoft.com/office/officeart/2005/8/layout/process2"/>
    <dgm:cxn modelId="{A6DB6A87-D3DE-4AF5-9979-846D38C377AA}" type="presOf" srcId="{F8B57C12-0FC2-4E1F-91CB-36CCD712BFCD}" destId="{69B14327-AA98-4E58-9DE1-049C73367ED9}" srcOrd="0" destOrd="0" presId="urn:microsoft.com/office/officeart/2005/8/layout/process2"/>
    <dgm:cxn modelId="{30451C2C-5A16-45F6-A2B0-82EB000D61F5}" type="presParOf" srcId="{69B14327-AA98-4E58-9DE1-049C73367ED9}" destId="{3F0D8E4A-8772-4081-BC20-030D4B216174}" srcOrd="0" destOrd="0" presId="urn:microsoft.com/office/officeart/2005/8/layout/process2"/>
    <dgm:cxn modelId="{7AD5D8AC-9C97-40D5-9CF7-8DE125F1D2E0}" type="presParOf" srcId="{69B14327-AA98-4E58-9DE1-049C73367ED9}" destId="{7BF356DA-BDC2-4022-9C55-DD13F851C86C}" srcOrd="1" destOrd="0" presId="urn:microsoft.com/office/officeart/2005/8/layout/process2"/>
    <dgm:cxn modelId="{8CCDC9B7-499F-44F3-A126-10609B912236}" type="presParOf" srcId="{7BF356DA-BDC2-4022-9C55-DD13F851C86C}" destId="{B0EF9A8C-493B-4C3F-A0BC-6E0E2530910A}" srcOrd="0" destOrd="0" presId="urn:microsoft.com/office/officeart/2005/8/layout/process2"/>
    <dgm:cxn modelId="{DF831401-CD6F-4BF0-BE4C-1B789855C0E9}" type="presParOf" srcId="{69B14327-AA98-4E58-9DE1-049C73367ED9}" destId="{BFE7A27F-ADC6-45C4-AA55-E30EDA470285}" srcOrd="2" destOrd="0" presId="urn:microsoft.com/office/officeart/2005/8/layout/process2"/>
    <dgm:cxn modelId="{CCF7DC2C-0A6B-40C6-8778-BFC8115CBA6D}" type="presParOf" srcId="{69B14327-AA98-4E58-9DE1-049C73367ED9}" destId="{EA41D5FD-F1D4-401D-96ED-3036DD271FA0}" srcOrd="3" destOrd="0" presId="urn:microsoft.com/office/officeart/2005/8/layout/process2"/>
    <dgm:cxn modelId="{D043BF4E-614F-4DB6-99D2-12C696186B99}" type="presParOf" srcId="{EA41D5FD-F1D4-401D-96ED-3036DD271FA0}" destId="{EF3C2F84-60F8-49DE-AF5E-C9CA94D2D651}" srcOrd="0" destOrd="0" presId="urn:microsoft.com/office/officeart/2005/8/layout/process2"/>
    <dgm:cxn modelId="{EBB662D8-B228-4DF7-A65A-65FB0C839AF9}" type="presParOf" srcId="{69B14327-AA98-4E58-9DE1-049C73367ED9}" destId="{23EC679A-E184-47D1-AC12-3A0CEF248EC6}" srcOrd="4" destOrd="0" presId="urn:microsoft.com/office/officeart/2005/8/layout/process2"/>
    <dgm:cxn modelId="{150E0971-B60F-4DA4-BA86-5006699E3BAB}" type="presParOf" srcId="{69B14327-AA98-4E58-9DE1-049C73367ED9}" destId="{454BE94C-F26A-46D9-B09C-BE07050D6DE5}" srcOrd="5" destOrd="0" presId="urn:microsoft.com/office/officeart/2005/8/layout/process2"/>
    <dgm:cxn modelId="{4C392C55-5B59-4AA7-A2C2-58145D3F5337}" type="presParOf" srcId="{454BE94C-F26A-46D9-B09C-BE07050D6DE5}" destId="{788B3633-70C7-4284-9025-305652958744}" srcOrd="0" destOrd="0" presId="urn:microsoft.com/office/officeart/2005/8/layout/process2"/>
    <dgm:cxn modelId="{0750347D-2976-420D-91B1-51A1DDDE0CCB}" type="presParOf" srcId="{69B14327-AA98-4E58-9DE1-049C73367ED9}" destId="{F1E5645A-0990-4E0B-81AE-E2BEFF9A4FFF}" srcOrd="6" destOrd="0" presId="urn:microsoft.com/office/officeart/2005/8/layout/process2"/>
    <dgm:cxn modelId="{62F32B01-676C-4B7B-AD04-B522CB7DC147}" type="presParOf" srcId="{69B14327-AA98-4E58-9DE1-049C73367ED9}" destId="{44B13311-DDCE-496E-BBE8-A640F3EDB8C8}" srcOrd="7" destOrd="0" presId="urn:microsoft.com/office/officeart/2005/8/layout/process2"/>
    <dgm:cxn modelId="{300C9D59-2197-421C-8610-A067ED6B0DFD}" type="presParOf" srcId="{44B13311-DDCE-496E-BBE8-A640F3EDB8C8}" destId="{94EE14C1-C611-4E30-A7A5-C3CEE00955F2}" srcOrd="0" destOrd="0" presId="urn:microsoft.com/office/officeart/2005/8/layout/process2"/>
    <dgm:cxn modelId="{00E4D40A-0024-49DB-A642-0F809E2EFF13}" type="presParOf" srcId="{69B14327-AA98-4E58-9DE1-049C73367ED9}" destId="{D5893093-A750-40B6-B5C9-1802E73AB23E}" srcOrd="8" destOrd="0" presId="urn:microsoft.com/office/officeart/2005/8/layout/process2"/>
    <dgm:cxn modelId="{8ED4976F-29B4-4C7C-A995-0A93208EAB9E}" type="presParOf" srcId="{69B14327-AA98-4E58-9DE1-049C73367ED9}" destId="{1C31DA64-84F6-4693-9A2D-F14782B1BBB5}" srcOrd="9" destOrd="0" presId="urn:microsoft.com/office/officeart/2005/8/layout/process2"/>
    <dgm:cxn modelId="{E8F5A4E6-7092-4551-AFDA-153D39AFB613}" type="presParOf" srcId="{1C31DA64-84F6-4693-9A2D-F14782B1BBB5}" destId="{DA1377A1-36DE-4A05-AA72-5FE03F05D704}" srcOrd="0" destOrd="0" presId="urn:microsoft.com/office/officeart/2005/8/layout/process2"/>
    <dgm:cxn modelId="{2B2ADC71-EE92-4F01-9BC3-59171850740F}" type="presParOf" srcId="{69B14327-AA98-4E58-9DE1-049C73367ED9}" destId="{69C0108A-AC9B-43E4-91DD-12FADB6A7BAB}" srcOrd="10" destOrd="0" presId="urn:microsoft.com/office/officeart/2005/8/layout/process2"/>
    <dgm:cxn modelId="{555EDA16-E242-4F43-AC95-B590DC61E52B}" type="presParOf" srcId="{69B14327-AA98-4E58-9DE1-049C73367ED9}" destId="{F1825427-83B1-4BC0-804B-B51DBEFDFFF0}" srcOrd="11" destOrd="0" presId="urn:microsoft.com/office/officeart/2005/8/layout/process2"/>
    <dgm:cxn modelId="{8C6020CB-2918-48AC-B487-BD81276648CC}" type="presParOf" srcId="{F1825427-83B1-4BC0-804B-B51DBEFDFFF0}" destId="{C83507DE-2DEB-4BFF-A423-C24CB9F10EB6}" srcOrd="0" destOrd="0" presId="urn:microsoft.com/office/officeart/2005/8/layout/process2"/>
    <dgm:cxn modelId="{F21E7871-D347-4EE9-9F5D-761833F3AC6D}" type="presParOf" srcId="{69B14327-AA98-4E58-9DE1-049C73367ED9}" destId="{2BE2E32F-1F0D-497A-B09D-9A6C06973824}" srcOrd="12"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D8E4A-8772-4081-BC20-030D4B216174}">
      <dsp:nvSpPr>
        <dsp:cNvPr id="0" name=""/>
        <dsp:cNvSpPr/>
      </dsp:nvSpPr>
      <dsp:spPr>
        <a:xfrm>
          <a:off x="264722" y="2972"/>
          <a:ext cx="2067106" cy="262703"/>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Medische apparatuur</a:t>
          </a:r>
        </a:p>
      </dsp:txBody>
      <dsp:txXfrm>
        <a:off x="272416" y="10666"/>
        <a:ext cx="2051718" cy="247315"/>
      </dsp:txXfrm>
    </dsp:sp>
    <dsp:sp modelId="{7BF356DA-BDC2-4022-9C55-DD13F851C86C}">
      <dsp:nvSpPr>
        <dsp:cNvPr id="0" name=""/>
        <dsp:cNvSpPr/>
      </dsp:nvSpPr>
      <dsp:spPr>
        <a:xfrm rot="5400000">
          <a:off x="1201379" y="278595"/>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297974"/>
        <a:ext cx="139529" cy="135654"/>
      </dsp:txXfrm>
    </dsp:sp>
    <dsp:sp modelId="{8778FEBF-5F6C-45AA-A194-C7AC5A925351}">
      <dsp:nvSpPr>
        <dsp:cNvPr id="0" name=""/>
        <dsp:cNvSpPr/>
      </dsp:nvSpPr>
      <dsp:spPr>
        <a:xfrm>
          <a:off x="264722" y="524064"/>
          <a:ext cx="2067106" cy="4836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technische ontwikkeling, productie </a:t>
          </a:r>
        </a:p>
      </dsp:txBody>
      <dsp:txXfrm>
        <a:off x="278887" y="538229"/>
        <a:ext cx="2038776" cy="455310"/>
      </dsp:txXfrm>
    </dsp:sp>
    <dsp:sp modelId="{D73DEB26-2678-4A35-B162-E77DEFEFFB6D}">
      <dsp:nvSpPr>
        <dsp:cNvPr id="0" name=""/>
        <dsp:cNvSpPr/>
      </dsp:nvSpPr>
      <dsp:spPr>
        <a:xfrm rot="5400000">
          <a:off x="1201379" y="1020624"/>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1040003"/>
        <a:ext cx="139529" cy="135654"/>
      </dsp:txXfrm>
    </dsp:sp>
    <dsp:sp modelId="{BFE7A27F-ADC6-45C4-AA55-E30EDA470285}">
      <dsp:nvSpPr>
        <dsp:cNvPr id="0" name=""/>
        <dsp:cNvSpPr/>
      </dsp:nvSpPr>
      <dsp:spPr>
        <a:xfrm>
          <a:off x="264722" y="1266093"/>
          <a:ext cx="2067106" cy="3565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biocompatibiliteit</a:t>
          </a:r>
        </a:p>
      </dsp:txBody>
      <dsp:txXfrm>
        <a:off x="275165" y="1276536"/>
        <a:ext cx="2046220" cy="335669"/>
      </dsp:txXfrm>
    </dsp:sp>
    <dsp:sp modelId="{EA41D5FD-F1D4-401D-96ED-3036DD271FA0}">
      <dsp:nvSpPr>
        <dsp:cNvPr id="0" name=""/>
        <dsp:cNvSpPr/>
      </dsp:nvSpPr>
      <dsp:spPr>
        <a:xfrm rot="5400000">
          <a:off x="1201379" y="1635567"/>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1654946"/>
        <a:ext cx="139529" cy="135654"/>
      </dsp:txXfrm>
    </dsp:sp>
    <dsp:sp modelId="{1FF669E4-DAD6-4EB8-8CF5-EE5C13DDCDC1}">
      <dsp:nvSpPr>
        <dsp:cNvPr id="0" name=""/>
        <dsp:cNvSpPr/>
      </dsp:nvSpPr>
      <dsp:spPr>
        <a:xfrm>
          <a:off x="264722" y="1881036"/>
          <a:ext cx="2067106" cy="365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Technische prestatie (incusief </a:t>
          </a:r>
          <a:r>
            <a:rPr lang="nl-NL" sz="1100" i="1" kern="1200">
              <a:latin typeface="Calibri" pitchFamily="34" charset="0"/>
              <a:cs typeface="Calibri" pitchFamily="34" charset="0"/>
            </a:rPr>
            <a:t>in vitro/in vivo testen)</a:t>
          </a:r>
          <a:endParaRPr lang="nl-NL" sz="1100" kern="1200">
            <a:latin typeface="Calibri" pitchFamily="34" charset="0"/>
            <a:cs typeface="Calibri" pitchFamily="34" charset="0"/>
          </a:endParaRPr>
        </a:p>
      </dsp:txBody>
      <dsp:txXfrm>
        <a:off x="275420" y="1891734"/>
        <a:ext cx="2045710" cy="343861"/>
      </dsp:txXfrm>
    </dsp:sp>
    <dsp:sp modelId="{097F8D8E-DB5D-4B9B-95A0-8BB62839F964}">
      <dsp:nvSpPr>
        <dsp:cNvPr id="0" name=""/>
        <dsp:cNvSpPr/>
      </dsp:nvSpPr>
      <dsp:spPr>
        <a:xfrm rot="5400000">
          <a:off x="1201379" y="2259213"/>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2278592"/>
        <a:ext cx="139529" cy="135654"/>
      </dsp:txXfrm>
    </dsp:sp>
    <dsp:sp modelId="{F1E5645A-0990-4E0B-81AE-E2BEFF9A4FFF}">
      <dsp:nvSpPr>
        <dsp:cNvPr id="0" name=""/>
        <dsp:cNvSpPr/>
      </dsp:nvSpPr>
      <dsp:spPr>
        <a:xfrm>
          <a:off x="264722" y="2504682"/>
          <a:ext cx="2067106" cy="552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Gebruik op patienten (alleen gedeeltelijk op gezonde vrijwilligers</a:t>
          </a:r>
        </a:p>
      </dsp:txBody>
      <dsp:txXfrm>
        <a:off x="280915" y="2520875"/>
        <a:ext cx="2034720" cy="520482"/>
      </dsp:txXfrm>
    </dsp:sp>
    <dsp:sp modelId="{44B13311-DDCE-496E-BBE8-A640F3EDB8C8}">
      <dsp:nvSpPr>
        <dsp:cNvPr id="0" name=""/>
        <dsp:cNvSpPr/>
      </dsp:nvSpPr>
      <dsp:spPr>
        <a:xfrm rot="5400000">
          <a:off x="1201379" y="3070470"/>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3089849"/>
        <a:ext cx="139529" cy="135654"/>
      </dsp:txXfrm>
    </dsp:sp>
    <dsp:sp modelId="{0845B445-F618-4C3F-A67B-6D22F324930E}">
      <dsp:nvSpPr>
        <dsp:cNvPr id="0" name=""/>
        <dsp:cNvSpPr/>
      </dsp:nvSpPr>
      <dsp:spPr>
        <a:xfrm>
          <a:off x="264722" y="3315939"/>
          <a:ext cx="2067106" cy="3571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Certificatie</a:t>
          </a:r>
        </a:p>
      </dsp:txBody>
      <dsp:txXfrm>
        <a:off x="275183" y="3326400"/>
        <a:ext cx="2046184" cy="336232"/>
      </dsp:txXfrm>
    </dsp:sp>
    <dsp:sp modelId="{E1CFBA11-344A-4B36-9199-A25806896722}">
      <dsp:nvSpPr>
        <dsp:cNvPr id="0" name=""/>
        <dsp:cNvSpPr/>
      </dsp:nvSpPr>
      <dsp:spPr>
        <a:xfrm rot="5400000">
          <a:off x="1201379" y="3686013"/>
          <a:ext cx="193791" cy="232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5400000">
        <a:off x="1228511" y="3705392"/>
        <a:ext cx="139529" cy="135654"/>
      </dsp:txXfrm>
    </dsp:sp>
    <dsp:sp modelId="{6C3768DC-7EEA-4FD7-B883-D1CE98114434}">
      <dsp:nvSpPr>
        <dsp:cNvPr id="0" name=""/>
        <dsp:cNvSpPr/>
      </dsp:nvSpPr>
      <dsp:spPr>
        <a:xfrm>
          <a:off x="264722" y="3931482"/>
          <a:ext cx="2067106" cy="5167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Lange termijn observatie/PMS </a:t>
          </a:r>
          <a:br>
            <a:rPr lang="nl-NL" sz="1100" kern="1200">
              <a:latin typeface="Calibri" pitchFamily="34" charset="0"/>
              <a:cs typeface="Calibri" pitchFamily="34" charset="0"/>
            </a:rPr>
          </a:br>
          <a:r>
            <a:rPr lang="nl-NL" sz="1100" kern="1200">
              <a:latin typeface="Calibri" pitchFamily="34" charset="0"/>
              <a:cs typeface="Calibri" pitchFamily="34" charset="0"/>
            </a:rPr>
            <a:t>Post-market clinical follow-up/PMCF</a:t>
          </a:r>
        </a:p>
      </dsp:txBody>
      <dsp:txXfrm>
        <a:off x="279858" y="3946618"/>
        <a:ext cx="2036834" cy="4865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D8E4A-8772-4081-BC20-030D4B216174}">
      <dsp:nvSpPr>
        <dsp:cNvPr id="0" name=""/>
        <dsp:cNvSpPr/>
      </dsp:nvSpPr>
      <dsp:spPr>
        <a:xfrm>
          <a:off x="224148" y="3358"/>
          <a:ext cx="2148253" cy="257725"/>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Medicijnen</a:t>
          </a:r>
        </a:p>
      </dsp:txBody>
      <dsp:txXfrm>
        <a:off x="231697" y="10907"/>
        <a:ext cx="2133155" cy="242627"/>
      </dsp:txXfrm>
    </dsp:sp>
    <dsp:sp modelId="{7BF356DA-BDC2-4022-9C55-DD13F851C86C}">
      <dsp:nvSpPr>
        <dsp:cNvPr id="0" name=""/>
        <dsp:cNvSpPr/>
      </dsp:nvSpPr>
      <dsp:spPr>
        <a:xfrm rot="5400000">
          <a:off x="1197576" y="274510"/>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294650"/>
        <a:ext cx="145006" cy="140979"/>
      </dsp:txXfrm>
    </dsp:sp>
    <dsp:sp modelId="{BFE7A27F-ADC6-45C4-AA55-E30EDA470285}">
      <dsp:nvSpPr>
        <dsp:cNvPr id="0" name=""/>
        <dsp:cNvSpPr/>
      </dsp:nvSpPr>
      <dsp:spPr>
        <a:xfrm>
          <a:off x="224148" y="529615"/>
          <a:ext cx="2148253" cy="53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Technische ontwikkeling, productie</a:t>
          </a:r>
        </a:p>
      </dsp:txBody>
      <dsp:txXfrm>
        <a:off x="239874" y="545341"/>
        <a:ext cx="2116801" cy="505482"/>
      </dsp:txXfrm>
    </dsp:sp>
    <dsp:sp modelId="{EA41D5FD-F1D4-401D-96ED-3036DD271FA0}">
      <dsp:nvSpPr>
        <dsp:cNvPr id="0" name=""/>
        <dsp:cNvSpPr/>
      </dsp:nvSpPr>
      <dsp:spPr>
        <a:xfrm rot="5400000">
          <a:off x="1197576" y="1079976"/>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1100116"/>
        <a:ext cx="145006" cy="140979"/>
      </dsp:txXfrm>
    </dsp:sp>
    <dsp:sp modelId="{23EC679A-E184-47D1-AC12-3A0CEF248EC6}">
      <dsp:nvSpPr>
        <dsp:cNvPr id="0" name=""/>
        <dsp:cNvSpPr/>
      </dsp:nvSpPr>
      <dsp:spPr>
        <a:xfrm>
          <a:off x="224148" y="1335081"/>
          <a:ext cx="2148253" cy="3525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Toxicologie</a:t>
          </a:r>
        </a:p>
      </dsp:txBody>
      <dsp:txXfrm>
        <a:off x="234473" y="1345406"/>
        <a:ext cx="2127603" cy="331856"/>
      </dsp:txXfrm>
    </dsp:sp>
    <dsp:sp modelId="{454BE94C-F26A-46D9-B09C-BE07050D6DE5}">
      <dsp:nvSpPr>
        <dsp:cNvPr id="0" name=""/>
        <dsp:cNvSpPr/>
      </dsp:nvSpPr>
      <dsp:spPr>
        <a:xfrm rot="5400000">
          <a:off x="1197576" y="1701015"/>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1721155"/>
        <a:ext cx="145006" cy="140979"/>
      </dsp:txXfrm>
    </dsp:sp>
    <dsp:sp modelId="{F1E5645A-0990-4E0B-81AE-E2BEFF9A4FFF}">
      <dsp:nvSpPr>
        <dsp:cNvPr id="0" name=""/>
        <dsp:cNvSpPr/>
      </dsp:nvSpPr>
      <dsp:spPr>
        <a:xfrm>
          <a:off x="224148" y="1956120"/>
          <a:ext cx="2148253" cy="3625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Farmacokinetiek, farmacodynamiek</a:t>
          </a:r>
        </a:p>
      </dsp:txBody>
      <dsp:txXfrm>
        <a:off x="234766" y="1966738"/>
        <a:ext cx="2127017" cy="341292"/>
      </dsp:txXfrm>
    </dsp:sp>
    <dsp:sp modelId="{44B13311-DDCE-496E-BBE8-A640F3EDB8C8}">
      <dsp:nvSpPr>
        <dsp:cNvPr id="0" name=""/>
        <dsp:cNvSpPr/>
      </dsp:nvSpPr>
      <dsp:spPr>
        <a:xfrm rot="5400000">
          <a:off x="1197576" y="2332075"/>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2352215"/>
        <a:ext cx="145006" cy="140979"/>
      </dsp:txXfrm>
    </dsp:sp>
    <dsp:sp modelId="{D5893093-A750-40B6-B5C9-1802E73AB23E}">
      <dsp:nvSpPr>
        <dsp:cNvPr id="0" name=""/>
        <dsp:cNvSpPr/>
      </dsp:nvSpPr>
      <dsp:spPr>
        <a:xfrm>
          <a:off x="224148" y="2587180"/>
          <a:ext cx="2148253" cy="4804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Gebruik op gezonde vrijwilligers/patiënten (fase I-III)</a:t>
          </a:r>
        </a:p>
      </dsp:txBody>
      <dsp:txXfrm>
        <a:off x="238220" y="2601252"/>
        <a:ext cx="2120109" cy="452323"/>
      </dsp:txXfrm>
    </dsp:sp>
    <dsp:sp modelId="{1C31DA64-84F6-4693-9A2D-F14782B1BBB5}">
      <dsp:nvSpPr>
        <dsp:cNvPr id="0" name=""/>
        <dsp:cNvSpPr/>
      </dsp:nvSpPr>
      <dsp:spPr>
        <a:xfrm rot="5400000">
          <a:off x="1197576" y="3081074"/>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3101214"/>
        <a:ext cx="145006" cy="140979"/>
      </dsp:txXfrm>
    </dsp:sp>
    <dsp:sp modelId="{69C0108A-AC9B-43E4-91DD-12FADB6A7BAB}">
      <dsp:nvSpPr>
        <dsp:cNvPr id="0" name=""/>
        <dsp:cNvSpPr/>
      </dsp:nvSpPr>
      <dsp:spPr>
        <a:xfrm>
          <a:off x="224148" y="3336179"/>
          <a:ext cx="2148253" cy="3578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Registratie</a:t>
          </a:r>
        </a:p>
      </dsp:txBody>
      <dsp:txXfrm>
        <a:off x="234629" y="3346660"/>
        <a:ext cx="2127291" cy="336894"/>
      </dsp:txXfrm>
    </dsp:sp>
    <dsp:sp modelId="{F1825427-83B1-4BC0-804B-B51DBEFDFFF0}">
      <dsp:nvSpPr>
        <dsp:cNvPr id="0" name=""/>
        <dsp:cNvSpPr/>
      </dsp:nvSpPr>
      <dsp:spPr>
        <a:xfrm rot="5400000">
          <a:off x="1197576" y="3707462"/>
          <a:ext cx="201398" cy="2416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nl-NL" sz="1000" kern="1200"/>
        </a:p>
      </dsp:txBody>
      <dsp:txXfrm rot="-5400000">
        <a:off x="1225773" y="3727602"/>
        <a:ext cx="145006" cy="140979"/>
      </dsp:txXfrm>
    </dsp:sp>
    <dsp:sp modelId="{2BE2E32F-1F0D-497A-B09D-9A6C06973824}">
      <dsp:nvSpPr>
        <dsp:cNvPr id="0" name=""/>
        <dsp:cNvSpPr/>
      </dsp:nvSpPr>
      <dsp:spPr>
        <a:xfrm>
          <a:off x="224148" y="3962567"/>
          <a:ext cx="2148253" cy="537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Calibri" pitchFamily="34" charset="0"/>
              <a:cs typeface="Calibri" pitchFamily="34" charset="0"/>
            </a:rPr>
            <a:t>Markttoezicht fase IV</a:t>
          </a:r>
        </a:p>
      </dsp:txBody>
      <dsp:txXfrm>
        <a:off x="239878" y="3978297"/>
        <a:ext cx="2116793" cy="5056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8257-0002-4B06-A432-0058651A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4429</Words>
  <Characters>29081</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Tabel 1—Algemene informatie</vt:lpstr>
    </vt:vector>
  </TitlesOfParts>
  <Company/>
  <LinksUpToDate>false</LinksUpToDate>
  <CharactersWithSpaces>33444</CharactersWithSpaces>
  <SharedDoc>false</SharedDoc>
  <HLinks>
    <vt:vector size="36" baseType="variant">
      <vt:variant>
        <vt:i4>5177426</vt:i4>
      </vt:variant>
      <vt:variant>
        <vt:i4>15</vt:i4>
      </vt:variant>
      <vt:variant>
        <vt:i4>0</vt:i4>
      </vt:variant>
      <vt:variant>
        <vt:i4>5</vt:i4>
      </vt:variant>
      <vt:variant>
        <vt:lpwstr>http://www.ecri.org/</vt:lpwstr>
      </vt:variant>
      <vt:variant>
        <vt:lpwstr/>
      </vt:variant>
      <vt:variant>
        <vt:i4>3539053</vt:i4>
      </vt:variant>
      <vt:variant>
        <vt:i4>12</vt:i4>
      </vt:variant>
      <vt:variant>
        <vt:i4>0</vt:i4>
      </vt:variant>
      <vt:variant>
        <vt:i4>5</vt:i4>
      </vt:variant>
      <vt:variant>
        <vt:lpwstr>http://www.consort-statement.org/Mohr,D.Schultz</vt:lpwstr>
      </vt:variant>
      <vt:variant>
        <vt:lpwstr/>
      </vt:variant>
      <vt:variant>
        <vt:i4>6029407</vt:i4>
      </vt:variant>
      <vt:variant>
        <vt:i4>9</vt:i4>
      </vt:variant>
      <vt:variant>
        <vt:i4>0</vt:i4>
      </vt:variant>
      <vt:variant>
        <vt:i4>5</vt:i4>
      </vt:variant>
      <vt:variant>
        <vt:lpwstr>http://www.nice.org.uk/aboutnice/howwework/developingniceclinicalguidelines/clinicalguidelinedevelopmentmethods/GuidelinesManual2009.jsp</vt:lpwstr>
      </vt:variant>
      <vt:variant>
        <vt:lpwstr/>
      </vt:variant>
      <vt:variant>
        <vt:i4>1310720</vt:i4>
      </vt:variant>
      <vt:variant>
        <vt:i4>6</vt:i4>
      </vt:variant>
      <vt:variant>
        <vt:i4>0</vt:i4>
      </vt:variant>
      <vt:variant>
        <vt:i4>5</vt:i4>
      </vt:variant>
      <vt:variant>
        <vt:lpwstr>http://ec.europa.eu/enterprise/sectors/medical-devices/files/meddev/2_7_I</vt:lpwstr>
      </vt:variant>
      <vt:variant>
        <vt:lpwstr/>
      </vt:variant>
      <vt:variant>
        <vt:i4>8192002</vt:i4>
      </vt:variant>
      <vt:variant>
        <vt:i4>3</vt:i4>
      </vt:variant>
      <vt:variant>
        <vt:i4>0</vt:i4>
      </vt:variant>
      <vt:variant>
        <vt:i4>5</vt:i4>
      </vt:variant>
      <vt:variant>
        <vt:lpwstr>http://ec.europa.eu/enterprise/sectors/medical-devices/files/meddev/2_12-2_05-2004_en.pdf</vt:lpwstr>
      </vt:variant>
      <vt:variant>
        <vt:lpwstr/>
      </vt:variant>
      <vt:variant>
        <vt:i4>4390925</vt:i4>
      </vt:variant>
      <vt:variant>
        <vt:i4>0</vt:i4>
      </vt:variant>
      <vt:variant>
        <vt:i4>0</vt:i4>
      </vt:variant>
      <vt:variant>
        <vt:i4>5</vt:i4>
      </vt:variant>
      <vt:variant>
        <vt:lpwstr>http://www.aqua-institut.de/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 1—Algemene informatie</dc:title>
  <dc:creator>HdenBoogert</dc:creator>
  <cp:lastModifiedBy>Anne</cp:lastModifiedBy>
  <cp:revision>9</cp:revision>
  <dcterms:created xsi:type="dcterms:W3CDTF">2011-10-24T20:09:00Z</dcterms:created>
  <dcterms:modified xsi:type="dcterms:W3CDTF">2011-10-25T19:00:00Z</dcterms:modified>
</cp:coreProperties>
</file>